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pPr>
      <w:r/>
    </w:p>
    <w:p>
      <w:pPr>
        <w:pStyle w:val="TextBody"/>
        <w:bidi w:val="0"/>
        <w:spacing w:before="0" w:after="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001-40994</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NerdWallet, Inc.</w:t>
      </w:r>
    </w:p>
    <w:p>
      <w:pPr>
        <w:pStyle w:val="TextBody"/>
        <w:bidi w:val="0"/>
        <w:spacing w:lineRule="auto" w:line="288" w:before="0" w:after="120"/>
        <w:jc w:val="center"/>
        <w:rPr>
          <w:rFonts w:ascii="Times New Roman;serif" w:hAnsi="Times New Roman;serif"/>
          <w:b w:val="false"/>
          <w:i/>
          <w:color w:val="000000"/>
          <w:sz w:val="19"/>
        </w:rPr>
      </w:pPr>
      <w:r>
        <w:rPr>
          <w:rFonts w:ascii="Times New Roman;serif" w:hAnsi="Times New Roman;serif"/>
          <w:b w:val="false"/>
          <w:i/>
          <w:color w:val="000000"/>
          <w:sz w:val="19"/>
        </w:rPr>
        <w:t>(Exact name of registrant as specified in its charter)</w:t>
      </w:r>
    </w:p>
    <w:tbl>
      <w:tblPr>
        <w:tblW w:w="8128" w:type="dxa"/>
        <w:jc w:val="left"/>
        <w:tblInd w:w="0" w:type="dxa"/>
        <w:tblLayout w:type="fixed"/>
        <w:tblCellMar>
          <w:top w:w="28" w:type="dxa"/>
          <w:left w:w="28" w:type="dxa"/>
          <w:bottom w:w="28" w:type="dxa"/>
          <w:right w:w="28" w:type="dxa"/>
        </w:tblCellMar>
      </w:tblPr>
      <w:tblGrid>
        <w:gridCol w:w="1848"/>
        <w:gridCol w:w="1623"/>
        <w:gridCol w:w="1643"/>
        <w:gridCol w:w="881"/>
        <w:gridCol w:w="881"/>
        <w:gridCol w:w="1252"/>
      </w:tblGrid>
      <w:t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45-4180440</w:t>
            </w:r>
          </w:p>
        </w:tc>
      </w:tr>
      <w:t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19"/>
              </w:rPr>
            </w:pPr>
            <w:r>
              <w:rPr>
                <w:rFonts w:ascii="Times New Roman;serif" w:hAnsi="Times New Roman;serif"/>
                <w:b w:val="false"/>
                <w:i/>
                <w:color w:val="000000"/>
                <w:sz w:val="19"/>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i/>
                <w:color w:val="000000"/>
                <w:sz w:val="19"/>
              </w:rPr>
            </w:pPr>
            <w:r>
              <w:rPr>
                <w:rFonts w:ascii="Times New Roman;serif" w:hAnsi="Times New Roman;serif"/>
                <w:b w:val="false"/>
                <w:i/>
                <w:color w:val="000000"/>
                <w:sz w:val="19"/>
              </w:rPr>
              <w:t>(I.R.S. Employer Identification No.)</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19 S. B Street, Suite 9, San Mateo, California 94401</w:t>
      </w:r>
    </w:p>
    <w:p>
      <w:pPr>
        <w:pStyle w:val="TextBody"/>
        <w:bidi w:val="0"/>
        <w:spacing w:lineRule="auto" w:line="288" w:before="0" w:after="120"/>
        <w:jc w:val="center"/>
        <w:rPr>
          <w:rFonts w:ascii="Times New Roman;serif" w:hAnsi="Times New Roman;serif"/>
          <w:b w:val="false"/>
          <w:i/>
          <w:color w:val="000000"/>
          <w:sz w:val="19"/>
        </w:rPr>
      </w:pPr>
      <w:r>
        <w:rPr>
          <w:rFonts w:ascii="Times New Roman;serif" w:hAnsi="Times New Roman;serif"/>
          <w:b w:val="false"/>
          <w:i/>
          <w:color w:val="000000"/>
          <w:sz w:val="19"/>
        </w:rPr>
        <w:t>(Address of principal executive offices) (Zip code)</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(415) 549-8913</w:t>
      </w:r>
    </w:p>
    <w:p>
      <w:pPr>
        <w:pStyle w:val="TextBody"/>
        <w:bidi w:val="0"/>
        <w:spacing w:lineRule="auto" w:line="288" w:before="0" w:after="120"/>
        <w:jc w:val="center"/>
        <w:rPr>
          <w:rFonts w:ascii="Times New Roman;serif" w:hAnsi="Times New Roman;serif"/>
          <w:b w:val="false"/>
          <w:i/>
          <w:color w:val="000000"/>
          <w:sz w:val="19"/>
        </w:rPr>
      </w:pPr>
      <w:r>
        <w:rPr>
          <w:rFonts w:ascii="Times New Roman;serif" w:hAnsi="Times New Roman;serif"/>
          <w:b w:val="false"/>
          <w:i/>
          <w:color w:val="000000"/>
          <w:sz w:val="19"/>
        </w:rPr>
        <w:t>(Registrant's telephone number, including area code)</w:t>
      </w:r>
    </w:p>
    <w:p>
      <w:pPr>
        <w:pStyle w:val="TextBody"/>
        <w:bidi w:val="0"/>
        <w:spacing w:before="0" w:after="0"/>
        <w:jc w:val="center"/>
      </w:pPr>
      <w:r/>
    </w:p>
    <w:p>
      <w:pPr>
        <w:pStyle w:val="TextBody"/>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Securities registered pursuant to Section 12(b) of the Act: </w:t>
      </w:r>
    </w:p>
    <w:tbl>
      <w:tblPr>
        <w:tblW w:w="9014" w:type="dxa"/>
        <w:jc w:val="left"/>
        <w:tblInd w:w="0" w:type="dxa"/>
        <w:tblLayout w:type="fixed"/>
        <w:tblCellMar>
          <w:top w:w="28" w:type="dxa"/>
          <w:left w:w="28" w:type="dxa"/>
          <w:bottom w:w="28" w:type="dxa"/>
          <w:right w:w="28" w:type="dxa"/>
        </w:tblCellMar>
      </w:tblPr>
      <w:tblGrid>
        <w:gridCol w:w="1274"/>
        <w:gridCol w:w="1119"/>
        <w:gridCol w:w="1132"/>
        <w:gridCol w:w="554"/>
        <w:gridCol w:w="554"/>
        <w:gridCol w:w="556"/>
        <w:gridCol w:w="1118"/>
        <w:gridCol w:w="1118"/>
        <w:gridCol w:w="1589"/>
      </w:tblGrid>
      <w:t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9"/>
              </w:rPr>
            </w:pPr>
            <w:r>
              <w:rPr>
                <w:rFonts w:ascii="Times New Roman;serif" w:hAnsi="Times New Roman;serif"/>
                <w:b/>
                <w:color w:val="000000"/>
                <w:sz w:val="19"/>
              </w:rPr>
              <w:t>Name of each exchange on which registered</w:t>
            </w:r>
          </w:p>
        </w:tc>
      </w:tr>
      <w:tr>
        <w:tc>
          <w:tcPr>
            <w:tcW w:w="35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9"/>
              </w:rPr>
            </w:pPr>
            <w:r>
              <w:rPr>
                <w:rFonts w:ascii="Times New Roman;serif" w:hAnsi="Times New Roman;serif"/>
                <w:b w:val="false"/>
                <w:color w:val="000000"/>
                <w:sz w:val="19"/>
              </w:rPr>
              <w:t>Class A common stock, $0.0001 par value</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9"/>
              </w:rPr>
            </w:pPr>
            <w:r>
              <w:rPr>
                <w:rFonts w:ascii="Times New Roman;serif" w:hAnsi="Times New Roman;serif"/>
                <w:b w:val="false"/>
                <w:color w:val="000000"/>
                <w:sz w:val="19"/>
              </w:rPr>
              <w:t>NRDS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9"/>
              </w:rPr>
            </w:pPr>
            <w:r>
              <w:rPr>
                <w:rFonts w:ascii="Times New Roman;serif" w:hAnsi="Times New Roman;serif"/>
                <w:b w:val="false"/>
                <w:color w:val="000000"/>
                <w:sz w:val="19"/>
              </w:rPr>
              <w:t>The Nasdaq Global Market</w:t>
            </w:r>
          </w:p>
        </w:tc>
      </w:tr>
    </w:tbl>
    <w:p>
      <w:pPr>
        <w:pStyle w:val="TextBody"/>
        <w:bidi w:val="0"/>
        <w:spacing w:lineRule="auto" w:line="288" w:before="0" w:after="120"/>
        <w:jc w:val="both"/>
      </w:pPr>
      <w:r>
        <w:rPr>
          <w:rFonts w:ascii="Times New Roman;serif" w:hAnsi="Times New Roman;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0" w:after="120"/>
        <w:jc w:val="both"/>
      </w:pPr>
      <w:r>
        <w:rPr>
          <w:rFonts w:ascii="Times New Roman;serif" w:hAnsi="Times New Roman;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bl>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pPr>
      <w:r>
        <w:rPr>
          <w:rFonts w:ascii="Times New Roman;serif" w:hAnsi="Times New Roman;serif"/>
          <w:b w:val="false"/>
          <w:color w:val="000000"/>
          <w:sz w:val="19"/>
        </w:rPr>
        <w:t xml:space="preserve">Indicate by check mark whether the registrant is a shell company (as defined in Rule 12b-2 of the Act). Yes ☐ No </w:t>
      </w:r>
      <w:r>
        <w:rPr>
          <w:color w:val="000000"/>
        </w:rPr>
        <w:t>☒</w:t>
      </w:r>
    </w:p>
    <w:p>
      <w:pPr>
        <w:pStyle w:val="TextBody"/>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The registrant had outstanding 31,711,119 shares of Class A common stock and 31,685,652 shares of Class B common stock as of October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Index to Form 10-Q</w:t>
      </w:r>
    </w:p>
    <w:p>
      <w:pPr>
        <w:pStyle w:val="TextBody"/>
        <w:bidi w:val="0"/>
        <w:spacing w:before="0" w:after="180"/>
        <w:jc w:val="center"/>
      </w:pPr>
      <w:r/>
    </w:p>
    <w:tbl>
      <w:tblPr>
        <w:tblW w:w="9058" w:type="dxa"/>
        <w:jc w:val="center"/>
        <w:tblInd w:w="0" w:type="dxa"/>
        <w:tblLayout w:type="fixed"/>
        <w:tblCellMar>
          <w:top w:w="28" w:type="dxa"/>
          <w:left w:w="28" w:type="dxa"/>
          <w:bottom w:w="28" w:type="dxa"/>
          <w:right w:w="28" w:type="dxa"/>
        </w:tblCellMar>
      </w:tblPr>
      <w:tblGrid>
        <w:gridCol w:w="141"/>
        <w:gridCol w:w="124"/>
        <w:gridCol w:w="124"/>
        <w:gridCol w:w="264"/>
        <w:gridCol w:w="264"/>
        <w:gridCol w:w="266"/>
        <w:gridCol w:w="2453"/>
        <w:gridCol w:w="2453"/>
        <w:gridCol w:w="2458"/>
        <w:gridCol w:w="149"/>
        <w:gridCol w:w="149"/>
        <w:gridCol w:w="213"/>
      </w:tblGrid>
      <w:t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c>
          <w:tcPr>
            <w:tcW w:w="11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Page</w:t>
            </w:r>
          </w:p>
        </w:tc>
      </w:tr>
      <w:tr>
        <w:tc>
          <w:tcPr>
            <w:tcW w:w="1183" w:type="dxa"/>
            <w:gridSpan w:val="6"/>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3">
              <w:r>
                <w:rPr>
                  <w:rStyle w:val="InternetLink"/>
                  <w:rFonts w:ascii="Times New Roman;serif" w:hAnsi="Times New Roman;serif"/>
                  <w:b/>
                  <w:color w:val="0000FF"/>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3">
              <w:r>
                <w:rPr>
                  <w:rStyle w:val="InternetLink"/>
                  <w:rFonts w:ascii="Times New Roman;serif" w:hAnsi="Times New Roman;serif"/>
                  <w:b/>
                  <w:color w:val="0000FF"/>
                  <w:sz w:val="20"/>
                  <w:u w:val="single"/>
                </w:rPr>
                <w:t>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6">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6">
              <w:r>
                <w:rPr>
                  <w:rStyle w:val="InternetLink"/>
                  <w:rFonts w:ascii="Times New Roman;serif" w:hAnsi="Times New Roman;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6">
              <w:r>
                <w:rPr>
                  <w:rStyle w:val="InternetLink"/>
                  <w:rFonts w:ascii="Times New Roman;serif" w:hAnsi="Times New Roman;serif"/>
                  <w:b w:val="false"/>
                  <w:strike w:val="false"/>
                  <w:dstrike w:val="false"/>
                  <w:color w:val="000000"/>
                  <w:sz w:val="20"/>
                  <w:u w:val="none"/>
                  <w:effect w:val="none"/>
                </w:rPr>
                <w:t>3</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9">
              <w:r>
                <w:rPr>
                  <w:rStyle w:val="InternetLink"/>
                  <w:rFonts w:ascii="Times New Roman;serif" w:hAnsi="Times New Roman;serif"/>
                  <w:b w:val="false"/>
                  <w:strike w:val="false"/>
                  <w:dstrike w:val="false"/>
                  <w:color w:val="000000"/>
                  <w:sz w:val="20"/>
                  <w:u w:val="none"/>
                  <w:effect w:val="none"/>
                </w:rPr>
                <w:t>3</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22">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22">
              <w:r>
                <w:rPr>
                  <w:rStyle w:val="InternetLink"/>
                  <w:rFonts w:ascii="Times New Roman;serif" w:hAnsi="Times New Roman;serif"/>
                  <w:b w:val="false"/>
                  <w:strike w:val="false"/>
                  <w:dstrike w:val="false"/>
                  <w:color w:val="000000"/>
                  <w:sz w:val="20"/>
                  <w:u w:val="none"/>
                  <w:effect w:val="none"/>
                </w:rPr>
                <w:t>4</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25">
              <w:r>
                <w:rPr>
                  <w:rStyle w:val="InternetLink"/>
                  <w:rFonts w:ascii="Times New Roman;serif" w:hAnsi="Times New Roman;serif"/>
                  <w:b w:val="false"/>
                  <w:color w:val="0000FF"/>
                  <w:sz w:val="20"/>
                  <w:u w:val="single"/>
                </w:rPr>
                <w:t>Condensed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25">
              <w:r>
                <w:rPr>
                  <w:rStyle w:val="InternetLink"/>
                  <w:rFonts w:ascii="Times New Roman;serif" w:hAnsi="Times New Roman;serif"/>
                  <w:b w:val="false"/>
                  <w:strike w:val="false"/>
                  <w:dstrike w:val="false"/>
                  <w:color w:val="000000"/>
                  <w:sz w:val="20"/>
                  <w:u w:val="none"/>
                  <w:effect w:val="none"/>
                </w:rPr>
                <w:t>5</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ind w:left="0" w:right="0" w:hanging="270"/>
              <w:jc w:val="left"/>
            </w:pPr>
            <w:hyperlink w:anchor="i316b380491db4ab8af079b2caba8e0b4_28">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28">
              <w:r>
                <w:rPr>
                  <w:rStyle w:val="InternetLink"/>
                  <w:rFonts w:ascii="Times New Roman;serif" w:hAnsi="Times New Roman;serif"/>
                  <w:b w:val="false"/>
                  <w:strike w:val="false"/>
                  <w:dstrike w:val="false"/>
                  <w:color w:val="000000"/>
                  <w:sz w:val="20"/>
                  <w:u w:val="none"/>
                  <w:effect w:val="none"/>
                </w:rPr>
                <w:t>6</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31">
              <w:r>
                <w:rPr>
                  <w:rStyle w:val="InternetLink"/>
                  <w:rFonts w:ascii="Times New Roman;serif" w:hAnsi="Times New Roman;serif"/>
                  <w:b w:val="false"/>
                  <w:strike w:val="false"/>
                  <w:dstrike w:val="false"/>
                  <w:color w:val="000000"/>
                  <w:sz w:val="20"/>
                  <w:u w:val="none"/>
                  <w:effect w:val="none"/>
                </w:rPr>
                <w:t>8</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34">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34">
              <w:r>
                <w:rPr>
                  <w:rStyle w:val="InternetLink"/>
                  <w:rFonts w:ascii="Times New Roman;serif" w:hAnsi="Times New Roman;serif"/>
                  <w:b w:val="false"/>
                  <w:strike w:val="false"/>
                  <w:dstrike w:val="false"/>
                  <w:color w:val="000000"/>
                  <w:sz w:val="20"/>
                  <w:u w:val="none"/>
                  <w:effect w:val="none"/>
                </w:rPr>
                <w:t>10</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67">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67">
              <w:r>
                <w:rPr>
                  <w:rStyle w:val="InternetLink"/>
                  <w:rFonts w:ascii="Times New Roman;serif" w:hAnsi="Times New Roman;serif"/>
                  <w:b w:val="false"/>
                  <w:strike w:val="false"/>
                  <w:dstrike w:val="false"/>
                  <w:color w:val="000000"/>
                  <w:sz w:val="20"/>
                  <w:u w:val="none"/>
                  <w:effect w:val="none"/>
                </w:rPr>
                <w:t>18</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00">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00">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00">
              <w:r>
                <w:rPr>
                  <w:rStyle w:val="InternetLink"/>
                  <w:rFonts w:ascii="Times New Roman;serif" w:hAnsi="Times New Roman;serif"/>
                  <w:b w:val="false"/>
                  <w:strike w:val="false"/>
                  <w:dstrike w:val="false"/>
                  <w:color w:val="000000"/>
                  <w:sz w:val="20"/>
                  <w:u w:val="none"/>
                  <w:effect w:val="none"/>
                </w:rPr>
                <w:t>28</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03">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03">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03">
              <w:r>
                <w:rPr>
                  <w:rStyle w:val="InternetLink"/>
                  <w:rFonts w:ascii="Times New Roman;serif" w:hAnsi="Times New Roman;serif"/>
                  <w:b w:val="false"/>
                  <w:strike w:val="false"/>
                  <w:dstrike w:val="false"/>
                  <w:color w:val="000000"/>
                  <w:sz w:val="20"/>
                  <w:u w:val="none"/>
                  <w:effect w:val="none"/>
                </w:rPr>
                <w:t>28</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3" w:type="dxa"/>
            <w:gridSpan w:val="6"/>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06">
              <w:r>
                <w:rPr>
                  <w:rStyle w:val="InternetLink"/>
                  <w:rFonts w:ascii="Times New Roman;serif" w:hAnsi="Times New Roman;serif"/>
                  <w:b/>
                  <w:color w:val="0000FF"/>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06">
              <w:r>
                <w:rPr>
                  <w:rStyle w:val="InternetLink"/>
                  <w:rFonts w:ascii="Times New Roman;serif" w:hAnsi="Times New Roman;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09">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09">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09">
              <w:r>
                <w:rPr>
                  <w:rStyle w:val="InternetLink"/>
                  <w:rFonts w:ascii="Times New Roman;serif" w:hAnsi="Times New Roman;serif"/>
                  <w:b w:val="false"/>
                  <w:strike w:val="false"/>
                  <w:dstrike w:val="false"/>
                  <w:color w:val="000000"/>
                  <w:sz w:val="20"/>
                  <w:u w:val="none"/>
                  <w:effect w:val="none"/>
                </w:rPr>
                <w:t>29</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12">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12">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12">
              <w:r>
                <w:rPr>
                  <w:rStyle w:val="InternetLink"/>
                  <w:rFonts w:ascii="Times New Roman;serif" w:hAnsi="Times New Roman;serif"/>
                  <w:b w:val="false"/>
                  <w:strike w:val="false"/>
                  <w:dstrike w:val="false"/>
                  <w:color w:val="000000"/>
                  <w:sz w:val="20"/>
                  <w:u w:val="none"/>
                  <w:effect w:val="none"/>
                </w:rPr>
                <w:t>29</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15">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15">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15">
              <w:r>
                <w:rPr>
                  <w:rStyle w:val="InternetLink"/>
                  <w:rFonts w:ascii="Times New Roman;serif" w:hAnsi="Times New Roman;serif"/>
                  <w:b w:val="false"/>
                  <w:strike w:val="false"/>
                  <w:dstrike w:val="false"/>
                  <w:color w:val="000000"/>
                  <w:sz w:val="20"/>
                  <w:u w:val="none"/>
                  <w:effect w:val="none"/>
                </w:rPr>
                <w:t>29</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18">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18">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18">
              <w:r>
                <w:rPr>
                  <w:rStyle w:val="InternetLink"/>
                  <w:rFonts w:ascii="Times New Roman;serif" w:hAnsi="Times New Roman;serif"/>
                  <w:b w:val="false"/>
                  <w:strike w:val="false"/>
                  <w:dstrike w:val="false"/>
                  <w:color w:val="000000"/>
                  <w:sz w:val="20"/>
                  <w:u w:val="none"/>
                  <w:effect w:val="none"/>
                </w:rPr>
                <w:t>29</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21">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21">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21">
              <w:r>
                <w:rPr>
                  <w:rStyle w:val="InternetLink"/>
                  <w:rFonts w:ascii="Times New Roman;serif" w:hAnsi="Times New Roman;serif"/>
                  <w:b w:val="false"/>
                  <w:strike w:val="false"/>
                  <w:dstrike w:val="false"/>
                  <w:color w:val="000000"/>
                  <w:sz w:val="20"/>
                  <w:u w:val="none"/>
                  <w:effect w:val="none"/>
                </w:rPr>
                <w:t>29</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24">
              <w:r>
                <w:rPr>
                  <w:rStyle w:val="InternetLink"/>
                  <w:rFonts w:ascii="Times New Roman;serif" w:hAnsi="Times New Roman;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24">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24">
              <w:r>
                <w:rPr>
                  <w:rStyle w:val="InternetLink"/>
                  <w:rFonts w:ascii="Times New Roman;serif" w:hAnsi="Times New Roman;serif"/>
                  <w:b w:val="false"/>
                  <w:strike w:val="false"/>
                  <w:dstrike w:val="false"/>
                  <w:color w:val="000000"/>
                  <w:sz w:val="20"/>
                  <w:u w:val="none"/>
                  <w:effect w:val="none"/>
                </w:rPr>
                <w:t>30</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30">
              <w:r>
                <w:rPr>
                  <w:rStyle w:val="InternetLink"/>
                  <w:rFonts w:ascii="Times New Roman;serif" w:hAnsi="Times New Roman;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pPr>
            <w:hyperlink w:anchor="i316b380491db4ab8af079b2caba8e0b4_130">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30">
              <w:r>
                <w:rPr>
                  <w:rStyle w:val="InternetLink"/>
                  <w:rFonts w:ascii="Times New Roman;serif" w:hAnsi="Times New Roman;serif"/>
                  <w:b w:val="false"/>
                  <w:strike w:val="false"/>
                  <w:dstrike w:val="false"/>
                  <w:color w:val="000000"/>
                  <w:sz w:val="20"/>
                  <w:u w:val="none"/>
                  <w:effect w:val="none"/>
                </w:rPr>
                <w:t>30</w:t>
              </w:r>
            </w:hyperlink>
          </w:p>
        </w:tc>
      </w:tr>
      <w:t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47" w:type="dxa"/>
            <w:gridSpan w:val="9"/>
            <w:tcBorders/>
            <w:tcMar>
              <w:top w:w="0" w:type="dxa"/>
              <w:left w:w="0" w:type="dxa"/>
              <w:bottom w:w="0" w:type="dxa"/>
              <w:right w:w="0" w:type="dxa"/>
            </w:tcMar>
            <w:vAlign w:val="center"/>
          </w:tcPr>
          <w:p>
            <w:pPr>
              <w:pStyle w:val="TableContents"/>
              <w:bidi w:val="0"/>
              <w:spacing w:lineRule="auto" w:line="268" w:before="0" w:after="0"/>
              <w:jc w:val="both"/>
            </w:pPr>
            <w:hyperlink w:anchor="i316b380491db4ab8af079b2caba8e0b4_133">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pPr>
            <w:hyperlink w:anchor="i316b380491db4ab8af079b2caba8e0b4_133">
              <w:r>
                <w:rPr>
                  <w:rStyle w:val="InternetLink"/>
                  <w:rFonts w:ascii="Times New Roman;serif" w:hAnsi="Times New Roman;serif"/>
                  <w:b w:val="false"/>
                  <w:strike w:val="false"/>
                  <w:dstrike w:val="false"/>
                  <w:color w:val="000000"/>
                  <w:sz w:val="20"/>
                  <w:u w:val="none"/>
                  <w:effect w:val="none"/>
                </w:rPr>
                <w:t>31</w:t>
              </w:r>
            </w:hyperlink>
          </w:p>
        </w:tc>
      </w:tr>
    </w:tbl>
    <w:p>
      <w:pPr>
        <w:pStyle w:val="TextBody"/>
        <w:bidi w:val="0"/>
        <w:spacing w:before="0" w:after="18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significant risks and uncertainties. Except for statements of historical facts, all statements contained in this Quarterly Report on Form 10-Q are forward-looking. These statements often contain words such as “anticipate,” “believe,” “contemplate,” “continue,” “could,” “estimate,” “expect,” “intend,” “may,” “plan,” “potential,” “predict,” “project,” “should,” “target,” “will” or “would” or similar terms, including their negatives. These forward-looking statements include, but are not limited to, statements regarding:</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the impact of macroeconomic developments, including inflation, interest rates, credit market conditions and general economic uncertainty, on our business, operating results, financial condition, and stock price;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our expectations regarding future financial and operational performance, including total revenue, cost of revenue, non</w:t>
      </w:r>
      <w:r>
        <w:rPr>
          <w:color w:val="000000"/>
        </w:rPr>
        <w:noBreakHyphen/>
      </w:r>
      <w:r>
        <w:rPr>
          <w:rFonts w:ascii="Times New Roman;serif" w:hAnsi="Times New Roman;serif"/>
          <w:b w:val="false"/>
          <w:color w:val="000000"/>
          <w:sz w:val="20"/>
        </w:rPr>
        <w:t xml:space="preserve">GAAP operating income (loss) and adjusted EBITDA;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our ability to grow traffic, engagement, and monetization on our platform; </w:t>
      </w:r>
    </w:p>
    <w:p>
      <w:pPr>
        <w:pStyle w:val="TextBody"/>
        <w:bidi w:val="0"/>
        <w:spacing w:lineRule="auto" w:line="288" w:before="0" w:after="180"/>
        <w:ind w:left="0" w:right="0" w:firstLine="360"/>
        <w:jc w:val="both"/>
      </w:pPr>
      <w:r>
        <w:rPr>
          <w:color w:val="000000"/>
        </w:rPr>
        <w:t>•</w:t>
      </w:r>
      <w:r>
        <w:rPr>
          <w:rFonts w:ascii="Times New Roman;serif" w:hAnsi="Times New Roman;serif"/>
          <w:b w:val="false"/>
          <w:color w:val="000000"/>
          <w:sz w:val="20"/>
        </w:rPr>
        <w:t>expected returns on marketing investments and brand campaigns;</w:t>
      </w:r>
    </w:p>
    <w:p>
      <w:pPr>
        <w:pStyle w:val="TextBody"/>
        <w:bidi w:val="0"/>
        <w:spacing w:lineRule="auto" w:line="288" w:before="0" w:after="180"/>
        <w:ind w:left="0" w:right="0" w:firstLine="360"/>
        <w:jc w:val="both"/>
      </w:pPr>
      <w:r>
        <w:rPr>
          <w:color w:val="000000"/>
        </w:rPr>
        <w:t>•</w:t>
      </w:r>
      <w:r>
        <w:rPr>
          <w:rFonts w:ascii="Times New Roman;serif" w:hAnsi="Times New Roman;serif"/>
          <w:b w:val="false"/>
          <w:color w:val="000000"/>
          <w:sz w:val="20"/>
        </w:rPr>
        <w:t>consumer and small and mid-sized business (SMB) demand for products and services offered through our platform;</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our ability to increase user registrations, improve repeat usage rates, and convert users into matches with financial services partners;</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expansion within existing and new verticals, including new products, services, and features that are competitive, compliant with applicable regulations, and responsive to market needs;</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geographic changes in operations;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maintaining and expanding relationships with existing financial services partners and identifying new ones;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developing scalable technology and data capabilities to provide personalized guidance and enhance user engagement;</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strengthening brand awareness, credibility, and consumer and SMB trust;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producing high quality, engaging consumer and SMB content and tools;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adapting to evolving consumer and SMB financial interests and behaviors;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competing effectively in existing and new markets;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maintaining the security, reliability, and availability of our platform;</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protecting and enhancing our intellectual property portfolio;</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attracting, developing, and retaining highly skilled and diverse talent;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complying with evolving laws, regulations, and supervisory expectations applicable to our business;</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the adequacy of our cash, cash equivalents, and investments to meet liquidity needs;</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 xml:space="preserve">managing growth, scaling infrastructure, and preserving our corporate culture; </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identifying, executing, and successfully integrating acquisitions; and</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achieving expected synergies, accretion, and other benefits from completed acquisitions.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not guarantees of future performance and should not be relied upon as predictions of future events. They are based on our current expectations, estimates, and projections regarding future events and trends that may affect our business, financial condition, and operating results. These expectations are subject to various risks, uncertainties, and assumptions, including those described elsewhere in this Quarterly Report on Form 10-Q, in Part I, Item 1A. Risk Factors in our Annual Report on Form 10-K for the year ended December 31, 2025, as well as in our subsequent periodic filings with the U.S. Securities and Exchange Commission.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is highly competitive and rapidly evolving, and new risks and uncertainties may arise that we cannot predict. As a result, actual results, events, or circumstances may differ materially from those reflected in our forward-looking statements.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Quarterly Report on Form 10-Q speak only as of the date hereof. We undertake no obligation to update any such statements in this Quarterly Report on Form 10-Q to reflect subsequent events, new information, or unexpected developments, except as required by law. These statements also do not reflect potential impacts from future acquisitions, mergers, dispositions, joint ventures, or investments.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statements that include “we believe” or similar expressions represent our beliefs and opinions as of the date of this Quarterly Report on Form 10-Q. While we believe the information supporting these statements is reasonable, it may be incomplete or subject to change. Investors should not interpret these statements as assurances that we have conducted an exhaustive inquiry or review of all relevant information. Given their inherent uncertainty, investors should not place undue reliance on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3"/>
        <w:gridCol w:w="2224"/>
        <w:gridCol w:w="2231"/>
        <w:gridCol w:w="109"/>
        <w:gridCol w:w="109"/>
        <w:gridCol w:w="109"/>
        <w:gridCol w:w="253"/>
        <w:gridCol w:w="757"/>
        <w:gridCol w:w="131"/>
        <w:gridCol w:w="109"/>
        <w:gridCol w:w="109"/>
        <w:gridCol w:w="109"/>
        <w:gridCol w:w="241"/>
        <w:gridCol w:w="722"/>
        <w:gridCol w:w="179"/>
      </w:tblGrid>
      <w:tr>
        <w:tc>
          <w:tcPr>
            <w:tcW w:w="281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7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7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pPr>
            <w:r/>
          </w:p>
        </w:tc>
      </w:tr>
      <w:tr>
        <w:tc>
          <w:tcPr>
            <w:tcW w:w="7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439.7</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461.1</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stock—$0.0001 par value per share—5,000 shares authorized; zero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stock—$0.0001 par value per share—296,686 shares authorized; 63,292 and 71,289 shares issued and outstanding as of September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439.7</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461.1</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62"/>
        <w:gridCol w:w="1439"/>
        <w:gridCol w:w="144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6"/>
      </w:tblGrid>
      <w:tr>
        <w:tc>
          <w:tcPr>
            <w:tcW w:w="216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5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659.1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611.2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45.8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Shares Used in Computing 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p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tbl>
      <w:tblPr>
        <w:tblW w:w="7946" w:type="dxa"/>
        <w:jc w:val="left"/>
        <w:tblInd w:w="0" w:type="dxa"/>
        <w:tblLayout w:type="fixed"/>
        <w:tblCellMar>
          <w:top w:w="28" w:type="dxa"/>
          <w:left w:w="28" w:type="dxa"/>
          <w:bottom w:w="28" w:type="dxa"/>
          <w:right w:w="28" w:type="dxa"/>
        </w:tblCellMar>
      </w:tblPr>
      <w:tblGrid>
        <w:gridCol w:w="1183"/>
        <w:gridCol w:w="1037"/>
        <w:gridCol w:w="104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c>
          <w:tcPr>
            <w:tcW w:w="118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p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before="0" w:after="120"/>
        <w:jc w:val="center"/>
      </w:pPr>
      <w:r/>
    </w:p>
    <w:tbl>
      <w:tblPr>
        <w:tblW w:w="10205" w:type="dxa"/>
        <w:jc w:val="left"/>
        <w:tblInd w:w="0" w:type="dxa"/>
        <w:tblLayout w:type="fixed"/>
        <w:tblCellMar>
          <w:top w:w="28" w:type="dxa"/>
          <w:left w:w="28" w:type="dxa"/>
          <w:bottom w:w="28" w:type="dxa"/>
          <w:right w:w="28" w:type="dxa"/>
        </w:tblCellMar>
      </w:tblPr>
      <w:tblGrid>
        <w:gridCol w:w="995"/>
        <w:gridCol w:w="457"/>
        <w:gridCol w:w="459"/>
        <w:gridCol w:w="109"/>
        <w:gridCol w:w="109"/>
        <w:gridCol w:w="109"/>
        <w:gridCol w:w="368"/>
        <w:gridCol w:w="368"/>
        <w:gridCol w:w="196"/>
        <w:gridCol w:w="109"/>
        <w:gridCol w:w="109"/>
        <w:gridCol w:w="109"/>
        <w:gridCol w:w="211"/>
        <w:gridCol w:w="406"/>
        <w:gridCol w:w="109"/>
        <w:gridCol w:w="109"/>
        <w:gridCol w:w="109"/>
        <w:gridCol w:w="109"/>
        <w:gridCol w:w="233"/>
        <w:gridCol w:w="699"/>
        <w:gridCol w:w="120"/>
        <w:gridCol w:w="109"/>
        <w:gridCol w:w="109"/>
        <w:gridCol w:w="109"/>
        <w:gridCol w:w="414"/>
        <w:gridCol w:w="827"/>
        <w:gridCol w:w="215"/>
        <w:gridCol w:w="109"/>
        <w:gridCol w:w="109"/>
        <w:gridCol w:w="109"/>
        <w:gridCol w:w="244"/>
        <w:gridCol w:w="730"/>
        <w:gridCol w:w="126"/>
        <w:gridCol w:w="109"/>
        <w:gridCol w:w="109"/>
        <w:gridCol w:w="109"/>
        <w:gridCol w:w="224"/>
        <w:gridCol w:w="671"/>
        <w:gridCol w:w="171"/>
      </w:tblGrid>
      <w:tr>
        <w:tc>
          <w:tcPr>
            <w:tcW w:w="99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Stockholders’ Equity</w:t>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1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71,289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562.5</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0.1</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(188.1)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374.5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65,791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570.2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(233.9)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336.2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63,879</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578.6</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(252.6)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325.8</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63,292</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589.8</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(248.2)</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341.4</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before="0" w:after="120"/>
        <w:jc w:val="center"/>
      </w:pPr>
      <w:r/>
    </w:p>
    <w:tbl>
      <w:tblPr>
        <w:tblW w:w="10205" w:type="dxa"/>
        <w:jc w:val="left"/>
        <w:tblInd w:w="0" w:type="dxa"/>
        <w:tblLayout w:type="fixed"/>
        <w:tblCellMar>
          <w:top w:w="28" w:type="dxa"/>
          <w:left w:w="28" w:type="dxa"/>
          <w:bottom w:w="28" w:type="dxa"/>
          <w:right w:w="28" w:type="dxa"/>
        </w:tblCellMar>
      </w:tblPr>
      <w:tblGrid>
        <w:gridCol w:w="995"/>
        <w:gridCol w:w="457"/>
        <w:gridCol w:w="459"/>
        <w:gridCol w:w="109"/>
        <w:gridCol w:w="109"/>
        <w:gridCol w:w="109"/>
        <w:gridCol w:w="368"/>
        <w:gridCol w:w="368"/>
        <w:gridCol w:w="196"/>
        <w:gridCol w:w="109"/>
        <w:gridCol w:w="109"/>
        <w:gridCol w:w="109"/>
        <w:gridCol w:w="211"/>
        <w:gridCol w:w="406"/>
        <w:gridCol w:w="109"/>
        <w:gridCol w:w="109"/>
        <w:gridCol w:w="109"/>
        <w:gridCol w:w="109"/>
        <w:gridCol w:w="233"/>
        <w:gridCol w:w="699"/>
        <w:gridCol w:w="120"/>
        <w:gridCol w:w="109"/>
        <w:gridCol w:w="109"/>
        <w:gridCol w:w="109"/>
        <w:gridCol w:w="414"/>
        <w:gridCol w:w="827"/>
        <w:gridCol w:w="215"/>
        <w:gridCol w:w="109"/>
        <w:gridCol w:w="109"/>
        <w:gridCol w:w="109"/>
        <w:gridCol w:w="244"/>
        <w:gridCol w:w="730"/>
        <w:gridCol w:w="126"/>
        <w:gridCol w:w="109"/>
        <w:gridCol w:w="109"/>
        <w:gridCol w:w="109"/>
        <w:gridCol w:w="224"/>
        <w:gridCol w:w="671"/>
        <w:gridCol w:w="171"/>
      </w:tblGrid>
      <w:tr>
        <w:tc>
          <w:tcPr>
            <w:tcW w:w="99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Stockholders’ Equity</w:t>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1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Balance as of December 31,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74,108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530.9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364.2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74,492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537.9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(166.3)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371.6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75,223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547.9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0.2</w:t>
            </w: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(158.1)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390.0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upon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pursuant to settlements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net share settlements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74,731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553.5</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(151.0)</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402.4</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tbl>
      <w:tblPr>
        <w:tblW w:w="9186" w:type="dxa"/>
        <w:jc w:val="center"/>
        <w:tblInd w:w="0" w:type="dxa"/>
        <w:tblLayout w:type="fixed"/>
        <w:tblCellMar>
          <w:top w:w="28" w:type="dxa"/>
          <w:left w:w="28" w:type="dxa"/>
          <w:bottom w:w="28" w:type="dxa"/>
          <w:right w:w="28" w:type="dxa"/>
        </w:tblCellMar>
      </w:tblPr>
      <w:tblGrid>
        <w:gridCol w:w="2428"/>
        <w:gridCol w:w="2130"/>
        <w:gridCol w:w="2162"/>
        <w:gridCol w:w="109"/>
        <w:gridCol w:w="109"/>
        <w:gridCol w:w="109"/>
        <w:gridCol w:w="211"/>
        <w:gridCol w:w="511"/>
        <w:gridCol w:w="109"/>
        <w:gridCol w:w="109"/>
        <w:gridCol w:w="109"/>
        <w:gridCol w:w="109"/>
        <w:gridCol w:w="211"/>
        <w:gridCol w:w="616"/>
        <w:gridCol w:w="154"/>
      </w:tblGrid>
      <w:tr>
        <w:tc>
          <w:tcPr>
            <w:tcW w:w="242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6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c>
          <w:tcPr>
            <w:tcW w:w="6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Liquidation of 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 (repayment) on warehouse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related to net-share settlements on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71"/>
        <w:gridCol w:w="2523"/>
        <w:gridCol w:w="2554"/>
        <w:gridCol w:w="109"/>
        <w:gridCol w:w="109"/>
        <w:gridCol w:w="109"/>
        <w:gridCol w:w="211"/>
        <w:gridCol w:w="406"/>
        <w:gridCol w:w="109"/>
        <w:gridCol w:w="109"/>
        <w:gridCol w:w="109"/>
        <w:gridCol w:w="109"/>
        <w:gridCol w:w="211"/>
        <w:gridCol w:w="511"/>
        <w:gridCol w:w="155"/>
      </w:tblGrid>
      <w:tr>
        <w:tc>
          <w:tcPr>
            <w:tcW w:w="2871"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7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 recorded in accounts payable and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 recorded in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 Related to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1.The Company and Basis of Presentation</w:t>
      </w:r>
    </w:p>
    <w:p>
      <w:pPr>
        <w:pStyle w:val="TextBody"/>
        <w:bidi w:val="0"/>
        <w:spacing w:lineRule="auto" w:line="288" w:before="0" w:after="180"/>
        <w:ind w:left="0" w:right="0" w:firstLine="360"/>
        <w:jc w:val="both"/>
      </w:pPr>
      <w:r>
        <w:rPr>
          <w:rFonts w:ascii="Times New Roman;serif" w:hAnsi="Times New Roman;serif"/>
          <w:b/>
          <w:color w:val="000000"/>
          <w:sz w:val="20"/>
        </w:rPr>
        <w:t>The Company—</w:t>
      </w:r>
      <w:r>
        <w:rPr>
          <w:rFonts w:ascii="Times New Roman;serif" w:hAnsi="Times New Roman;serif"/>
          <w:b w:val="false"/>
          <w:color w:val="000000"/>
          <w:sz w:val="20"/>
        </w:rPr>
        <w:t>NerdWallet, Inc., a Delaware corporation, was formed on December 29, 2011. NerdWallet, Inc. and its subsidiaries (collectively, the Company) provide trusted guidance about finance through its platform, which connects consumers and small and mid-sized businesses (SMBs) with providers of financial products, and access to regulated financial services offered through its subsidiaries.</w:t>
      </w:r>
    </w:p>
    <w:p>
      <w:pPr>
        <w:pStyle w:val="TextBody"/>
        <w:bidi w:val="0"/>
        <w:spacing w:lineRule="auto" w:line="288" w:before="0" w:after="180"/>
        <w:ind w:left="0" w:right="0" w:firstLine="360"/>
        <w:jc w:val="both"/>
      </w:pPr>
      <w:r>
        <w:rPr>
          <w:rFonts w:ascii="Times New Roman;serif" w:hAnsi="Times New Roman;serif"/>
          <w:b/>
          <w:color w:val="000000"/>
          <w:sz w:val="20"/>
        </w:rPr>
        <w:t>Basis of Consolidation and Presentation—</w:t>
      </w:r>
      <w:r>
        <w:rPr>
          <w:rFonts w:ascii="Times New Roman;serif" w:hAnsi="Times New Roman;serif"/>
          <w:b w:val="false"/>
          <w:color w:val="000000"/>
          <w:sz w:val="20"/>
        </w:rPr>
        <w:t xml:space="preserve">The accompanying unaudited interim condensed consolidated financial statements have been prepared in accordance with accounting principles generally accepted in the United States of America (GAAP) and applicable rules and regulations of the U.S. Securities and Exchange Commission (SEC)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2025.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and nine months ended September 30, 2025 have been reclassified to conform to the presentation as of and for the three and nine months ended September 30, 2026. The results of operations for the three and nine months ended September 30, 2026 are not necessarily indicative of the results to be expected for the full year or any other future period.</w:t>
      </w:r>
    </w:p>
    <w:p>
      <w:pPr>
        <w:pStyle w:val="TextBody"/>
        <w:bidi w:val="0"/>
        <w:spacing w:lineRule="auto" w:line="288" w:before="0" w:after="180"/>
        <w:ind w:left="0" w:right="0" w:firstLine="360"/>
        <w:jc w:val="both"/>
      </w:pPr>
      <w:r>
        <w:rPr>
          <w:rFonts w:ascii="Times New Roman;serif" w:hAnsi="Times New Roman;serif"/>
          <w:b/>
          <w:color w:val="000000"/>
          <w:sz w:val="20"/>
        </w:rPr>
        <w:t>Segments—</w:t>
      </w:r>
      <w:r>
        <w:rPr>
          <w:rFonts w:ascii="Times New Roman;serif" w:hAnsi="Times New Roman;serif"/>
          <w:b w:val="false"/>
          <w:color w:val="000000"/>
          <w:sz w:val="20"/>
        </w:rPr>
        <w:t>The Company has one operating segment. The measure of segment assets is presented as total assets in the condensed consolidated balance sheets.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segment costs and expenses, along with a reconciliation to income from operations, are as follows:</w:t>
      </w:r>
    </w:p>
    <w:tbl>
      <w:tblPr>
        <w:tblW w:w="9131" w:type="dxa"/>
        <w:jc w:val="left"/>
        <w:tblInd w:w="0" w:type="dxa"/>
        <w:tblLayout w:type="fixed"/>
        <w:tblCellMar>
          <w:top w:w="28" w:type="dxa"/>
          <w:left w:w="28" w:type="dxa"/>
          <w:bottom w:w="28" w:type="dxa"/>
          <w:right w:w="28" w:type="dxa"/>
        </w:tblCellMar>
      </w:tblPr>
      <w:tblGrid>
        <w:gridCol w:w="1437"/>
        <w:gridCol w:w="1262"/>
        <w:gridCol w:w="127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659.1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611.2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Personnel-related expenses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Other segment costs and expenses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45.8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Gross of capitalized internally developed software costs.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Primarily includes cost of revenue and non-personnel-related operating expenses (each excluding depreciation and amortization), acquisition-related expenses and retention, and brand marketing.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segment items included in consolidated net income (loss) are presented in the condensed consolidated statements of operations, and comprised of other income (expense), net, and income tax provision (benefit).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pPr>
      <w:r>
        <w:rPr>
          <w:rFonts w:ascii="Times New Roman;serif" w:hAnsi="Times New Roman;serif"/>
          <w:b/>
          <w:color w:val="000000"/>
          <w:sz w:val="20"/>
        </w:rPr>
        <w:t>Sales and Marketing</w:t>
      </w:r>
      <w:r>
        <w:rPr>
          <w:color w:val="000000"/>
        </w:rPr>
        <w:t>—</w:t>
      </w:r>
      <w:r>
        <w:rPr>
          <w:rFonts w:ascii="Times New Roman;serif" w:hAnsi="Times New Roman;serif"/>
          <w:b w:val="false"/>
          <w:color w:val="000000"/>
          <w:sz w:val="20"/>
        </w:rPr>
        <w:t>Components of sales and marketing expenses are as follows:</w:t>
      </w:r>
    </w:p>
    <w:tbl>
      <w:tblPr>
        <w:tblW w:w="7527"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173.2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135.3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467.7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423.0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pPr>
      <w:r>
        <w:rPr>
          <w:rFonts w:ascii="Times New Roman;serif" w:hAnsi="Times New Roman;serif"/>
          <w:b/>
          <w:color w:val="000000"/>
          <w:sz w:val="20"/>
        </w:rPr>
        <w:t>Related Party Transaction</w:t>
      </w:r>
      <w:r>
        <w:rPr>
          <w:color w:val="000000"/>
        </w:rPr>
        <w:t>—</w:t>
      </w:r>
      <w:r>
        <w:rPr>
          <w:rFonts w:ascii="Times New Roman;serif" w:hAnsi="Times New Roman;serif"/>
          <w:b w:val="false"/>
          <w:color w:val="000000"/>
          <w:sz w:val="20"/>
        </w:rPr>
        <w:t>The Company is party to a services agreement with a marketing platform, which was co-founded by a former executive officer of the Company. Total expense to this vendor under the services agreement was $1.9 million and $3.6 million for the three and nine months ended September 30, 2026, respectively, which was included in sales and marketing expenses in the condensed consolidated statements of operations. The amount due to this vendor was $0.4 million as of September 30, 2026, which was included in accounts payable in the condensed consolidated balance sheets.</w:t>
      </w:r>
    </w:p>
    <w:p>
      <w:pPr>
        <w:pStyle w:val="TextBody"/>
        <w:bidi w:val="0"/>
        <w:spacing w:lineRule="auto" w:line="288" w:before="0" w:after="180"/>
        <w:ind w:left="0" w:right="0" w:firstLine="360"/>
        <w:jc w:val="both"/>
      </w:pPr>
      <w:r>
        <w:rPr>
          <w:rFonts w:ascii="Times New Roman;serif" w:hAnsi="Times New Roman;serif"/>
          <w:b/>
          <w:color w:val="000000"/>
          <w:sz w:val="20"/>
        </w:rPr>
        <w:t>Significant Accounting Policies</w:t>
      </w:r>
      <w:r>
        <w:rPr>
          <w:color w:val="000000"/>
        </w:rPr>
        <w:t>—</w:t>
      </w:r>
      <w:r>
        <w:rPr>
          <w:rFonts w:ascii="Times New Roman;serif" w:hAnsi="Times New Roman;serif"/>
          <w:b w:val="false"/>
          <w:color w:val="000000"/>
          <w:sz w:val="20"/>
        </w:rPr>
        <w:t>During the nine months ended September 30, 2026, there have been no material changes to the Company’s significant accounting policies as disclosed in Note 1–The Company and its Significant Accounting Policies in the notes to the consolidated financial statements in the Company’s Annual Report on Form 10-K for the year ended December 31, 2025.</w:t>
      </w:r>
    </w:p>
    <w:p>
      <w:pPr>
        <w:pStyle w:val="TextBody"/>
        <w:bidi w:val="0"/>
        <w:spacing w:lineRule="auto" w:line="288" w:before="0" w:after="180"/>
        <w:ind w:left="0" w:right="0" w:firstLine="360"/>
        <w:jc w:val="both"/>
      </w:pPr>
      <w:r>
        <w:rPr>
          <w:rFonts w:ascii="Times New Roman;serif" w:hAnsi="Times New Roman;serif"/>
          <w:b/>
          <w:color w:val="000000"/>
          <w:sz w:val="20"/>
        </w:rPr>
        <w:t>Recently Adopted Accounting Pronouncement</w:t>
      </w:r>
      <w:r>
        <w:rPr>
          <w:color w:val="000000"/>
        </w:rPr>
        <w:t>—</w:t>
      </w:r>
      <w:r>
        <w:rPr>
          <w:rFonts w:ascii="Times New Roman;serif" w:hAnsi="Times New Roman;serif"/>
          <w:b w:val="false"/>
          <w:color w:val="000000"/>
          <w:sz w:val="20"/>
        </w:rPr>
        <w:t xml:space="preserve">In July 2025, the Financial Accounting Standards Board issued Accounting Standards Update (ASU) No. 2025-05,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 xml:space="preserve">(ASU 2025-05), which provides a practical expedient related to the estimation of expected credit losses for current accounts receivable and current contract assets that arise from transactions accounted for under Accounting Standards Codification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The practical expedient allows an entity to assume that current conditions as of the balance sheet date do not change for the remaining life of the asset. The Company adopted the provisions of ASU 2025-05 as of January 1, 2026, and such adoption did not have an impact on the Company’s financial condition and results of operations within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with the three months ended March 31, 2026, the Company presents revenue disaggregated by user groups: Consumer and SMB. This presentation is consistent with recent changes in how management evaluates the Company’s financial and business performance, including the information currently reviewed by the Company’s chief operating decision maker. Consumer revenue includes revenue from financial products and services intended for individual consumers, including insurance, credit cards, loans, bank accounts and other products and services. Consumer revenue includes the previously reported Insurance, Credit cards, Loans and Emerging verticals product categories. SMB revenue includes revenue from financial products and services intended for SMBs, including loans, credit cards and other products and services. Prior period disaggregation of revenue has been recast to conform to this new presentation. The following presents a disaggregation of the Company’s revenue based on user group:</w:t>
      </w:r>
    </w:p>
    <w:tbl>
      <w:tblPr>
        <w:tblW w:w="6507" w:type="dxa"/>
        <w:jc w:val="left"/>
        <w:tblInd w:w="0" w:type="dxa"/>
        <w:tblLayout w:type="fixed"/>
        <w:tblCellMar>
          <w:top w:w="28" w:type="dxa"/>
          <w:left w:w="28" w:type="dxa"/>
          <w:bottom w:w="28" w:type="dxa"/>
          <w:right w:w="28" w:type="dxa"/>
        </w:tblCellMar>
      </w:tblPr>
      <w:tblGrid>
        <w:gridCol w:w="488"/>
        <w:gridCol w:w="429"/>
        <w:gridCol w:w="433"/>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659.1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611.2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contract asset recorded within prepaid expenses and other current assets on the condensed consolidated balance sheets related to estimated variable consideration was $15.7 million and $3.5 million as of September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assets that are measured at fair value on a recurring basis, by level, within the fair value hierarchy are summarized as follows:</w:t>
      </w:r>
    </w:p>
    <w:tbl>
      <w:tblPr>
        <w:tblW w:w="9461" w:type="dxa"/>
        <w:jc w:val="left"/>
        <w:tblInd w:w="0" w:type="dxa"/>
        <w:tblLayout w:type="fixed"/>
        <w:tblCellMar>
          <w:top w:w="28" w:type="dxa"/>
          <w:left w:w="28" w:type="dxa"/>
          <w:bottom w:w="28" w:type="dxa"/>
          <w:right w:w="28" w:type="dxa"/>
        </w:tblCellMar>
      </w:tblPr>
      <w:tblGrid>
        <w:gridCol w:w="1483"/>
        <w:gridCol w:w="1304"/>
        <w:gridCol w:w="1323"/>
        <w:gridCol w:w="109"/>
        <w:gridCol w:w="109"/>
        <w:gridCol w:w="109"/>
        <w:gridCol w:w="280"/>
        <w:gridCol w:w="700"/>
        <w:gridCol w:w="145"/>
        <w:gridCol w:w="109"/>
        <w:gridCol w:w="109"/>
        <w:gridCol w:w="109"/>
        <w:gridCol w:w="265"/>
        <w:gridCol w:w="528"/>
        <w:gridCol w:w="138"/>
        <w:gridCol w:w="109"/>
        <w:gridCol w:w="109"/>
        <w:gridCol w:w="109"/>
        <w:gridCol w:w="318"/>
        <w:gridCol w:w="612"/>
        <w:gridCol w:w="166"/>
        <w:gridCol w:w="109"/>
        <w:gridCol w:w="109"/>
        <w:gridCol w:w="109"/>
        <w:gridCol w:w="211"/>
        <w:gridCol w:w="526"/>
        <w:gridCol w:w="154"/>
      </w:tblGrid>
      <w:t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Carrying</w:t>
              <w:br/>
              <w:t>Value</w:t>
            </w:r>
          </w:p>
        </w:tc>
      </w:tr>
      <w:t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pPr>
            <w:r/>
          </w:p>
        </w:tc>
      </w:tr>
      <w:t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29.7</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3.8</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61" w:type="dxa"/>
        <w:jc w:val="left"/>
        <w:tblInd w:w="0" w:type="dxa"/>
        <w:tblLayout w:type="fixed"/>
        <w:tblCellMar>
          <w:top w:w="28" w:type="dxa"/>
          <w:left w:w="28" w:type="dxa"/>
          <w:bottom w:w="28" w:type="dxa"/>
          <w:right w:w="28" w:type="dxa"/>
        </w:tblCellMar>
      </w:tblPr>
      <w:tblGrid>
        <w:gridCol w:w="1483"/>
        <w:gridCol w:w="1303"/>
        <w:gridCol w:w="1324"/>
        <w:gridCol w:w="109"/>
        <w:gridCol w:w="109"/>
        <w:gridCol w:w="109"/>
        <w:gridCol w:w="280"/>
        <w:gridCol w:w="700"/>
        <w:gridCol w:w="145"/>
        <w:gridCol w:w="109"/>
        <w:gridCol w:w="109"/>
        <w:gridCol w:w="109"/>
        <w:gridCol w:w="265"/>
        <w:gridCol w:w="528"/>
        <w:gridCol w:w="138"/>
        <w:gridCol w:w="109"/>
        <w:gridCol w:w="109"/>
        <w:gridCol w:w="109"/>
        <w:gridCol w:w="318"/>
        <w:gridCol w:w="612"/>
        <w:gridCol w:w="166"/>
        <w:gridCol w:w="109"/>
        <w:gridCol w:w="109"/>
        <w:gridCol w:w="109"/>
        <w:gridCol w:w="211"/>
        <w:gridCol w:w="526"/>
        <w:gridCol w:w="154"/>
      </w:tblGrid>
      <w:t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Carrying</w:t>
              <w:br/>
              <w:t>Value</w:t>
            </w:r>
          </w:p>
        </w:tc>
      </w:tr>
      <w:t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pPr>
            <w:r/>
          </w:p>
        </w:tc>
      </w:tr>
      <w:t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67.0</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9.4</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76.4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4.Significant Condensed Consolidated Balance Sheet Components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made a strategic investment of $2.0 million in equity securities of a privately-held company over which the Company does not exercise significant influence. These equity securities do not have a readily determinable fair value and are accounted for under the measurement alternative. Under the measurement alternative, the carrying value of the security is measured at cost less any impairment, and adjusted for changes resulting from observable price changes in orderly transactions for identical or similar securities of the same issuer. An equity security without a readily determinable fair value is considered impaired when the fair value of the Company’s interest is less than the carrying value. Equity investments without readily determinable fair values are included in other assets on the Company’s condensed consolidated balance sheets, and any related gains or losses would be included in other gains (losses), net on the Company’s condensed consolidated statements of operations. Equity investments without readily determinable fair values were $2.0 million as of September 30, 2026, and there were no related changes in carrying amount or impairment during the nine months ended September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includes capitalized software development costs, net of accumulated amortization, of $24.4 million and $29.7 million as of September 30, 2026 and December 31, 2025, respectively. The Company capitalized $3.0 million and $11.5 million of software development costs during the three and nine months ended September 30, 2026, respectively, and $5.6 million and $15.4 million during the three and nine months ended September 30, 2025, respectively. The Company recorded amortization expense related to capitalized software development costs of $5.8 million and $16.8 million, respectively, during the three and nine months ended September 30, 2026 and $7.6 million and $25.3 million during the three and nine months ended September 30, 2025, respectively.</w:t>
      </w:r>
    </w:p>
    <w:p>
      <w:pPr>
        <w:pStyle w:val="TextBody"/>
        <w:bidi w:val="0"/>
        <w:spacing w:lineRule="auto" w:line="288" w:before="0" w:after="180"/>
        <w:ind w:left="0" w:right="0" w:firstLine="360"/>
        <w:jc w:val="both"/>
      </w:pPr>
      <w:r>
        <w:rPr>
          <w:rFonts w:ascii="Times New Roman;serif" w:hAnsi="Times New Roman;serif"/>
          <w:b w:val="false"/>
          <w:color w:val="000000"/>
          <w:sz w:val="20"/>
        </w:rPr>
        <w:t>Accrued expenses and other current liabilities includes unbilled accounts payable of $47.7 million and $46.9 million, short</w:t>
      </w:r>
      <w:r>
        <w:rPr>
          <w:color w:val="000000"/>
        </w:rPr>
        <w:noBreakHyphen/>
      </w:r>
      <w:r>
        <w:rPr>
          <w:rFonts w:ascii="Times New Roman;serif" w:hAnsi="Times New Roman;serif"/>
          <w:b w:val="false"/>
          <w:color w:val="000000"/>
          <w:sz w:val="20"/>
        </w:rPr>
        <w:t>term borrowings under a warehouse line of credit of $3.7 million and $6.9 million, and operating lease liabilities of $2.0 million and $1.9 million, as of September 30, 2026 and December 31, 2025,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liabilities—noncurrent includes operating lease liabilities of $4.6 million and $6.1 million as of September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5.Business Combinations</w:t>
      </w:r>
    </w:p>
    <w:p>
      <w:pPr>
        <w:pStyle w:val="TextBody"/>
        <w:bidi w:val="0"/>
        <w:spacing w:lineRule="auto" w:line="288" w:before="0" w:after="180"/>
        <w:ind w:left="0" w:right="0" w:firstLine="360"/>
        <w:jc w:val="both"/>
      </w:pPr>
      <w:r>
        <w:rPr>
          <w:rFonts w:ascii="Times New Roman;serif" w:hAnsi="Times New Roman;serif"/>
          <w:b/>
          <w:color w:val="000000"/>
          <w:sz w:val="20"/>
        </w:rPr>
        <w:t>Acquisition of College Finance Company, LLC—</w:t>
      </w:r>
      <w:r>
        <w:rPr>
          <w:rFonts w:ascii="Times New Roman;serif" w:hAnsi="Times New Roman;serif"/>
          <w:b w:val="false"/>
          <w:color w:val="000000"/>
          <w:sz w:val="20"/>
        </w:rPr>
        <w:t>On February 20, 2026, the Company entered into a Membership Interest Purchase Agreement with inspHIRE IO Corp., d/b/a Candidly, pursuant to which the Company acquired 100% of the outstanding membership interests of College Finance Company, LLC (College Finance), which operates a student loan marketplace to connect borrowers with lenders. The preliminary purchase consideration for this acquisition was $17.2 million in cash which was paid during the nine months ended September 30, 2026, including $1.5 million which was placed into escrow to secure potential post-closing indemnification rights.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assets acquired totaled $7.7 million, and was primarily comprised of $1.1 million of cash and cash equivalents, and $5.0 million in intangible assets. The intangible assets acquired were comprised of $3.6 million for developed technology and $1.4 million for a trade name, each with a three-year estimated useful life. The fair values of liabilities assumed totaled $3.4 million, and was primarily comprised of $3.2 million in accounts payable. Additionally, the Company recorded $12.9 million of goodwill, which is primarily attributable to synergies from combining the operations of the Company and College Finance, as well as the value ascribed to the knowledge and experience of the continuing key employees. For income tax purposes, the acquisition is an asset purchase and goodwill is tax deductible.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Concurrently with the closing of this acquisition, the Company’s Board of Directors granted restricted stock units (RSUs) with an aggregate grant-date fair value of $3.1 million to certain continuing key employees of College Finance. The RSUs generally vest over four years subject to a one-year cliff and quarterly vesting thereafter, with vesting generally subject to the grantees’ continued employment with the Company. The fair value of these RSUs is recognized as stock-based compensation expense ratably over the respective vesting terms of the RSUs. The fair value of these RSUs is excluded from the purchase consideration and accounted for separately from the business combination.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extensive level of integration of College Finance’s technology and operations into the Company’s operations following the closing of the acquisition, the Company is not able to quantify the acquisition’s contribution following the closing of the acquisition to the Company’s revenue and operating income for the three and nine months ended September 30, 2026, as the ability to objectively quantify such amounts would require a significant level of estimation.</w:t>
      </w:r>
    </w:p>
    <w:p>
      <w:pPr>
        <w:pStyle w:val="TextBody"/>
        <w:bidi w:val="0"/>
        <w:spacing w:lineRule="auto" w:line="288" w:before="0" w:after="180"/>
        <w:ind w:left="0" w:right="0" w:firstLine="360"/>
        <w:jc w:val="both"/>
      </w:pPr>
      <w:r>
        <w:rPr>
          <w:rFonts w:ascii="Times New Roman;serif" w:hAnsi="Times New Roman;serif"/>
          <w:b/>
          <w:color w:val="000000"/>
          <w:sz w:val="20"/>
        </w:rPr>
        <w:t>Other Business Combination—</w:t>
      </w:r>
      <w:r>
        <w:rPr>
          <w:rFonts w:ascii="Times New Roman;serif" w:hAnsi="Times New Roman;serif"/>
          <w:b w:val="false"/>
          <w:color w:val="000000"/>
          <w:sz w:val="20"/>
        </w:rPr>
        <w:t>On July 10, 2026, the Company acquired a privately-held financial services company for a preliminary purchase consideration of $5.4 million in cash. The fair values of assets acquired totaled $2.3 million, and was primarily comprised of intangible assets of $1.5 million with three-year estimated useful lives, and the fair values of liabilities assumed totaled $0.6 million. The Company recorded $3.7 million of goodwill, which, for income tax purposes, is not tax deductible. The contributions from this acquisition following the closing date through September 30, 2026 were not material to the Company’s revenue and operating income for the three and nine months ended September 30, 2026. Pro forma results of operations have not been provided to reflect this acquisition as such results would not have been materially different from the Company’s reported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acquisitions have been accounted for as business combinations. Acquisition-related costs of $0.1 million and $1.2 million were incurred for these acquisitions during the three and nine months ended September 30, 2026, respectively, and are included in general and administrative expense on the condensed consolidated statements of operations. </w:t>
      </w:r>
    </w:p>
    <w:p>
      <w:pPr>
        <w:pStyle w:val="TextBody"/>
        <w:bidi w:val="0"/>
        <w:spacing w:before="0" w:after="180"/>
        <w:ind w:left="0" w:right="0" w:firstLine="36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6.Commitments and Contingencies</w:t>
      </w:r>
    </w:p>
    <w:p>
      <w:pPr>
        <w:pStyle w:val="TextBody"/>
        <w:bidi w:val="0"/>
        <w:spacing w:lineRule="auto" w:line="288" w:before="0" w:after="180"/>
        <w:ind w:left="0" w:right="0" w:firstLine="360"/>
        <w:jc w:val="both"/>
      </w:pPr>
      <w:r>
        <w:rPr>
          <w:rFonts w:ascii="Times New Roman;serif" w:hAnsi="Times New Roman;serif"/>
          <w:b/>
          <w:color w:val="000000"/>
          <w:sz w:val="20"/>
        </w:rPr>
        <w:t>Commitments and Other Financial Arrangements</w:t>
      </w:r>
      <w:r>
        <w:rPr>
          <w:color w:val="000000"/>
        </w:rPr>
        <w:t>—</w:t>
      </w:r>
      <w:r>
        <w:rPr>
          <w:rFonts w:ascii="Times New Roman;serif" w:hAnsi="Times New Roman;serif"/>
          <w:b w:val="false"/>
          <w:color w:val="000000"/>
          <w:sz w:val="20"/>
        </w:rPr>
        <w:t xml:space="preserve">The Company has certain financial commitments and other arrangements including unused letters of credit, commitments under leases, and an outstanding warehouse line of credit. As of September 30, 2026, there were no material changes to the Company’s commitments and other financial arrangements as disclosed in Note 8–Commitments and Contingencies in the notes to the consolidated financial statements in the Company’s Annual Report on Form 10-K for the year ended December 31, 2025. </w:t>
      </w:r>
    </w:p>
    <w:p>
      <w:pPr>
        <w:pStyle w:val="TextBody"/>
        <w:bidi w:val="0"/>
        <w:spacing w:lineRule="auto" w:line="288" w:before="0" w:after="180"/>
        <w:ind w:left="0" w:right="0" w:firstLine="360"/>
        <w:jc w:val="both"/>
      </w:pPr>
      <w:r>
        <w:rPr>
          <w:rFonts w:ascii="Times New Roman;serif" w:hAnsi="Times New Roman;serif"/>
          <w:b/>
          <w:color w:val="000000"/>
          <w:sz w:val="20"/>
        </w:rPr>
        <w:t>Litigation and Other Legal Matters</w:t>
      </w:r>
      <w:r>
        <w:rPr>
          <w:color w:val="000000"/>
        </w:rPr>
        <w:t>—</w:t>
      </w:r>
      <w:r>
        <w:rPr>
          <w:rFonts w:ascii="Times New Roman;serif" w:hAnsi="Times New Roman;serif"/>
          <w:b w:val="false"/>
          <w:color w:val="000000"/>
          <w:sz w:val="20"/>
        </w:rPr>
        <w:t>The Company is involved from time to time in litigation, claims, and proceedings. Periodically, the Company 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September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7.Stockholders’ Equity</w:t>
      </w:r>
    </w:p>
    <w:p>
      <w:pPr>
        <w:pStyle w:val="TextBody"/>
        <w:bidi w:val="0"/>
        <w:spacing w:lineRule="auto" w:line="288" w:before="0" w:after="180"/>
        <w:ind w:left="0" w:right="0" w:firstLine="360"/>
        <w:jc w:val="both"/>
      </w:pPr>
      <w:r>
        <w:rPr>
          <w:rFonts w:ascii="Times New Roman;serif" w:hAnsi="Times New Roman;serif"/>
          <w:b/>
          <w:color w:val="000000"/>
          <w:sz w:val="20"/>
        </w:rPr>
        <w:t>Share Repurchase Program</w:t>
      </w:r>
      <w:r>
        <w:rPr>
          <w:color w:val="000000"/>
        </w:rPr>
        <w:t>—</w:t>
      </w:r>
      <w:r>
        <w:rPr>
          <w:rFonts w:ascii="Times New Roman;serif" w:hAnsi="Times New Roman;serif"/>
          <w:b w:val="false"/>
          <w:color w:val="000000"/>
          <w:sz w:val="20"/>
        </w:rPr>
        <w:t xml:space="preserve">The Company maintains a share repurchase program under which the Company may purchase shares of its Class A common stock (the Repurchase Program), originally authorized by its Board of Directors in May 2023 and subsequently increased through additional authorizations from time to time. In February 2026, the Company’s Board of Directors approved an increase of $100.0 million to the amount authorized for repurchases under the Repurchase Program.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repurchased 1.1 million and 9.8 million shares of Class A common stock for $10.5 million and $99.7 million during the three and nine months ended September 30, 2026, respectively, and repurchased 1.8 million shares for $19.2 million during the three and nine months ended September 30, 2025. Additionally, the Company paid $0.4 million of excise taxes during the nine months ended September 30, 2026 which related to previous share repurchases. The remaining share repurchase authorization under the Repurchase Program is $56.6 million as of September 30, 2026.</w:t>
      </w:r>
    </w:p>
    <w:p>
      <w:pPr>
        <w:pStyle w:val="TextBody"/>
        <w:bidi w:val="0"/>
        <w:spacing w:lineRule="auto" w:line="288" w:before="0" w:after="180"/>
        <w:ind w:left="0" w:right="0" w:firstLine="360"/>
        <w:jc w:val="both"/>
      </w:pPr>
      <w:r>
        <w:rPr>
          <w:rFonts w:ascii="Times New Roman;serif" w:hAnsi="Times New Roman;serif"/>
          <w:b/>
          <w:color w:val="000000"/>
          <w:sz w:val="20"/>
        </w:rPr>
        <w:t>Equity Incentive Plans</w:t>
      </w:r>
      <w:r>
        <w:rPr>
          <w:color w:val="000000"/>
        </w:rPr>
        <w:t>—</w:t>
      </w:r>
      <w:r>
        <w:rPr>
          <w:rFonts w:ascii="Times New Roman;serif" w:hAnsi="Times New Roman;serif"/>
          <w:b w:val="false"/>
          <w:color w:val="000000"/>
          <w:sz w:val="20"/>
        </w:rPr>
        <w:t>The 2021 Equity Incentive Plan and the predecessor 2012 Equity Incentive Plan, both as amended, along with the 2022 Inducement Equity Incentive Plan (collectively, the Plans) comprise the equity incentive plans of the Company.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3.6 million shares effective January 1,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pPr>
      <w:r>
        <w:rPr>
          <w:rFonts w:ascii="Times New Roman;serif" w:hAnsi="Times New Roman;serif"/>
          <w:b/>
          <w:color w:val="000000"/>
          <w:sz w:val="20"/>
        </w:rPr>
        <w:t>Stock Options</w:t>
      </w:r>
      <w:r>
        <w:rPr>
          <w:color w:val="000000"/>
        </w:rPr>
        <w:t>—</w:t>
      </w:r>
      <w:r>
        <w:rPr>
          <w:rFonts w:ascii="Times New Roman;serif" w:hAnsi="Times New Roman;serif"/>
          <w:b w:val="false"/>
          <w:color w:val="000000"/>
          <w:sz w:val="20"/>
        </w:rPr>
        <w:t>A summary of the Company’s stock option activity for its Plans is as follows:</w:t>
      </w:r>
    </w:p>
    <w:tbl>
      <w:tblPr>
        <w:tblW w:w="10205" w:type="dxa"/>
        <w:jc w:val="left"/>
        <w:tblInd w:w="0" w:type="dxa"/>
        <w:tblLayout w:type="fixed"/>
        <w:tblCellMar>
          <w:top w:w="28" w:type="dxa"/>
          <w:left w:w="28" w:type="dxa"/>
          <w:bottom w:w="28" w:type="dxa"/>
          <w:right w:w="28" w:type="dxa"/>
        </w:tblCellMar>
      </w:tblPr>
      <w:tblGrid>
        <w:gridCol w:w="1339"/>
        <w:gridCol w:w="1170"/>
        <w:gridCol w:w="1173"/>
        <w:gridCol w:w="109"/>
        <w:gridCol w:w="109"/>
        <w:gridCol w:w="109"/>
        <w:gridCol w:w="367"/>
        <w:gridCol w:w="367"/>
        <w:gridCol w:w="369"/>
        <w:gridCol w:w="109"/>
        <w:gridCol w:w="109"/>
        <w:gridCol w:w="109"/>
        <w:gridCol w:w="331"/>
        <w:gridCol w:w="968"/>
        <w:gridCol w:w="172"/>
        <w:gridCol w:w="109"/>
        <w:gridCol w:w="109"/>
        <w:gridCol w:w="109"/>
        <w:gridCol w:w="490"/>
        <w:gridCol w:w="490"/>
        <w:gridCol w:w="491"/>
        <w:gridCol w:w="109"/>
        <w:gridCol w:w="109"/>
        <w:gridCol w:w="109"/>
        <w:gridCol w:w="280"/>
        <w:gridCol w:w="680"/>
        <w:gridCol w:w="210"/>
      </w:tblGrid>
      <w:tr>
        <w:tc>
          <w:tcPr>
            <w:tcW w:w="133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 Options</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Contractual Life</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Intrinsic Value</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c>
          <w:tcPr>
            <w:tcW w:w="3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Balance as of December 31, 2025</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Cancelled/forfeited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Balance as of September 30, 2026</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pPr>
            <w:r>
              <w:rPr>
                <w:rFonts w:ascii="Times New Roman;serif" w:hAnsi="Times New Roman;serif"/>
                <w:b w:val="false"/>
                <w:color w:val="000000"/>
                <w:sz w:val="20"/>
              </w:rPr>
              <w:t>Vested and exercisable as of September 30, 2026</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0.2 million of stock options with both service-based and performance-based conditions.</w:t>
      </w:r>
    </w:p>
    <w:p>
      <w:pPr>
        <w:pStyle w:val="TextBody"/>
        <w:bidi w:val="0"/>
        <w:spacing w:lineRule="auto" w:line="288" w:before="0" w:after="180"/>
        <w:ind w:left="0" w:right="0" w:hanging="360"/>
        <w:jc w:val="both"/>
      </w:pPr>
      <w:r>
        <w:rPr>
          <w:rFonts w:ascii="Times New Roman;serif" w:hAnsi="Times New Roman;serif"/>
          <w:b w:val="false"/>
          <w:color w:val="000000"/>
          <w:sz w:val="16"/>
        </w:rPr>
        <w:t>(2)Includes 0.1 million</w:t>
      </w:r>
      <w:r>
        <w:rPr>
          <w:color w:val="000000"/>
        </w:rPr>
        <w:t xml:space="preserve"> </w:t>
      </w:r>
      <w:r>
        <w:rPr>
          <w:rFonts w:ascii="Times New Roman;serif" w:hAnsi="Times New Roman;serif"/>
          <w:b w:val="false"/>
          <w:color w:val="000000"/>
          <w:sz w:val="16"/>
        </w:rPr>
        <w:t>of stock options with both service-based and performance-based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nine months ended September 30, 2026 was $5.99 per share. The aggregate intrinsic value of options exercised was $0.7 million for the nine months ended September 30, 2026.</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per-share fair value of each stock option granted was determined on the date of grant using the following weighted-average assumptions:</w:t>
      </w:r>
    </w:p>
    <w:tbl>
      <w:tblPr>
        <w:tblW w:w="4400"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233"/>
        <w:gridCol w:w="233"/>
        <w:gridCol w:w="313"/>
        <w:gridCol w:w="126"/>
        <w:gridCol w:w="126"/>
        <w:gridCol w:w="126"/>
        <w:gridCol w:w="233"/>
        <w:gridCol w:w="233"/>
        <w:gridCol w:w="365"/>
      </w:tblGrid>
      <w:t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360"/>
        <w:jc w:val="both"/>
      </w:pPr>
      <w:r>
        <w:rPr>
          <w:rFonts w:ascii="Times New Roman;serif" w:hAnsi="Times New Roman;serif"/>
          <w:b/>
          <w:color w:val="000000"/>
          <w:sz w:val="20"/>
        </w:rPr>
        <w:t>Restricted Stock Units</w:t>
      </w:r>
      <w:r>
        <w:rPr>
          <w:color w:val="000000"/>
        </w:rPr>
        <w:t>—</w:t>
      </w:r>
      <w:r>
        <w:rPr>
          <w:rFonts w:ascii="Times New Roman;serif" w:hAnsi="Times New Roman;serif"/>
          <w:b w:val="false"/>
          <w:color w:val="000000"/>
          <w:sz w:val="20"/>
        </w:rPr>
        <w:t>A summary of the Company’s outstanding nonvested RSUs for its Plans is as follows:</w:t>
      </w:r>
    </w:p>
    <w:tbl>
      <w:tblPr>
        <w:tblW w:w="6579" w:type="dxa"/>
        <w:jc w:val="left"/>
        <w:tblInd w:w="0" w:type="dxa"/>
        <w:tblLayout w:type="fixed"/>
        <w:tblCellMar>
          <w:top w:w="28" w:type="dxa"/>
          <w:left w:w="28" w:type="dxa"/>
          <w:bottom w:w="28" w:type="dxa"/>
          <w:right w:w="28" w:type="dxa"/>
        </w:tblCellMar>
      </w:tblPr>
      <w:tblGrid>
        <w:gridCol w:w="1125"/>
        <w:gridCol w:w="989"/>
        <w:gridCol w:w="991"/>
        <w:gridCol w:w="109"/>
        <w:gridCol w:w="109"/>
        <w:gridCol w:w="109"/>
        <w:gridCol w:w="434"/>
        <w:gridCol w:w="434"/>
        <w:gridCol w:w="436"/>
        <w:gridCol w:w="109"/>
        <w:gridCol w:w="109"/>
        <w:gridCol w:w="109"/>
        <w:gridCol w:w="326"/>
        <w:gridCol w:w="951"/>
        <w:gridCol w:w="239"/>
      </w:tblGrid>
      <w:t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Units</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Grant-Date</w:t>
              <w:br/>
              <w:t>Fair Value</w:t>
            </w:r>
          </w:p>
        </w:tc>
      </w:tr>
      <w:t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Nonvested as of December 31, 2025</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Forfeited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less than 0.1 million of RSUs with both service-based and performance-based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fair value of shares that vested under RSUs was $15.4 million during the nine months ended September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October 1, 2026, the Company modified RSU awards in connection with separation agreements with two employees. The two employees had existing RSU awards, granted concurrently with an acquisition, which provided for accelerated vesting of unvested RSUs in the event of a qualifying termination. As a result of these separations, the Company accelerated the recognition of stock-based compensation for the grant-date fair values of the original RSU awards. Under the terms of the separation agreements, approximately 0.2 million of these RSUs were modified to cancel upon separation. There was no incremental stock-based compensation cost resulting from these modifications. During the three months ended September 30, 2026, the Company recognized $3.9 million of accelerated stock-based compensation related to these RSU awards, including $1.9 million related to the approximately 0.2 million of RSUs which were modified to cancel upon separation, which is included in sales and marketing expenses on the condensed consolidated statements of operations. As of September 30, 2026, all stock-based compensation related to these RSU awards has been recognized in the condensed consolidated statements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pPr>
      <w:r>
        <w:rPr>
          <w:rFonts w:ascii="Times New Roman;serif" w:hAnsi="Times New Roman;serif"/>
          <w:b/>
          <w:color w:val="000000"/>
          <w:sz w:val="20"/>
        </w:rPr>
        <w:t>Employee Stock Purchase Plan</w:t>
      </w:r>
      <w:r>
        <w:rPr>
          <w:color w:val="000000"/>
        </w:rPr>
        <w:t>—</w:t>
      </w:r>
      <w:r>
        <w:rPr>
          <w:rFonts w:ascii="Times New Roman;serif" w:hAnsi="Times New Roman;serif"/>
          <w:b w:val="false"/>
          <w:color w:val="000000"/>
          <w:sz w:val="20"/>
        </w:rPr>
        <w:t>The terms of the Employee Stock Purchase Plan (ESPP) provide for automatic increases in the number of shares reserved for issuance on January 1 of each calendar year, beginning in 2023 and through 2031, subject to terms of the ESPP. In accordance with these plan terms, the aggregate number of Class A common stock authorized for issuance under the ESPP increased by 0.7 million effective January 1, 2026. Prior to capitalizing amounts related to software development costs, the Company recognized stock-based compensation related to the ESPP of $0.2 million and $0.6 million, during the three and nine months ended September 30, 2026, respectively, and $0.2 million and $0.7 million during the three and nine months ended September 30, 2025, respectively.</w:t>
      </w:r>
    </w:p>
    <w:p>
      <w:pPr>
        <w:pStyle w:val="TextBody"/>
        <w:bidi w:val="0"/>
        <w:spacing w:lineRule="auto" w:line="288" w:before="0" w:after="120"/>
        <w:ind w:left="0" w:right="0" w:firstLine="360"/>
        <w:jc w:val="both"/>
      </w:pPr>
      <w:r>
        <w:rPr>
          <w:rFonts w:ascii="Times New Roman;serif" w:hAnsi="Times New Roman;serif"/>
          <w:b/>
          <w:color w:val="000000"/>
          <w:sz w:val="20"/>
        </w:rPr>
        <w:t>Stock-Based Compensation</w:t>
      </w:r>
      <w:r>
        <w:rPr>
          <w:color w:val="000000"/>
        </w:rPr>
        <w:t>—</w:t>
      </w:r>
      <w:r>
        <w:rPr>
          <w:rFonts w:ascii="Times New Roman;serif" w:hAnsi="Times New Roman;serif"/>
          <w:b w:val="false"/>
          <w:color w:val="000000"/>
          <w:sz w:val="20"/>
        </w:rPr>
        <w:t>The Company recognized stock-based compensation under the Plans and ESPP as follows:</w:t>
      </w:r>
    </w:p>
    <w:tbl>
      <w:tblPr>
        <w:tblW w:w="7527" w:type="dxa"/>
        <w:jc w:val="left"/>
        <w:tblInd w:w="0" w:type="dxa"/>
        <w:tblLayout w:type="fixed"/>
        <w:tblCellMar>
          <w:top w:w="28" w:type="dxa"/>
          <w:left w:w="28" w:type="dxa"/>
          <w:bottom w:w="28" w:type="dxa"/>
          <w:right w:w="28" w:type="dxa"/>
        </w:tblCellMar>
      </w:tblPr>
      <w:tblGrid>
        <w:gridCol w:w="1044"/>
        <w:gridCol w:w="918"/>
        <w:gridCol w:w="933"/>
        <w:gridCol w:w="109"/>
        <w:gridCol w:w="109"/>
        <w:gridCol w:w="109"/>
        <w:gridCol w:w="211"/>
        <w:gridCol w:w="526"/>
        <w:gridCol w:w="109"/>
        <w:gridCol w:w="109"/>
        <w:gridCol w:w="109"/>
        <w:gridCol w:w="109"/>
        <w:gridCol w:w="211"/>
        <w:gridCol w:w="421"/>
        <w:gridCol w:w="109"/>
        <w:gridCol w:w="109"/>
        <w:gridCol w:w="109"/>
        <w:gridCol w:w="109"/>
        <w:gridCol w:w="211"/>
        <w:gridCol w:w="526"/>
        <w:gridCol w:w="109"/>
        <w:gridCol w:w="109"/>
        <w:gridCol w:w="109"/>
        <w:gridCol w:w="109"/>
        <w:gridCol w:w="211"/>
        <w:gridCol w:w="526"/>
        <w:gridCol w:w="154"/>
      </w:tblGrid>
      <w:tr>
        <w:tc>
          <w:tcPr>
            <w:tcW w:w="10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stock-based compensation capitalized related to software development costs was $0.4 million and $0.9 million during the three months ended September 30, 2026 and 2025, respectively, and $1.5 million and $2.5 million during the nine months ended September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8.Income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tax provisions for interim reporting periods during 2026 and 2025 were determined using an estimated annual effective tax rate which is adjusted for discrete items occurring during the periods presented. The Company’s effective tax rates for the three and nine months ended September 30, 2026 differ from the U.S. federal statutory income tax rate of 21% primarily due to state taxes, stock-based compensation and interest on uncertain tax positions. The primary difference between the Company’s effective tax rates and the U.S. federal statutory income tax rates for the three and nine months ended September 30, 2025 was due to discrete items related to stock-based compensation and uncertain tax positions. The Company maintains a valuation allowance on its California deferred tax assets, which consist primarily of tax credits, as of September 30, 2026. The Company’s judgment regarding the likelihood of realization of these deferred tax assets could change in future periods, which could result in a material impact to the Company’s income tax provision in the period of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NERDWALLET,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9.Net Income per Basic and Diluted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basic and diluted per share computations for net income attributable to common stockholders:</w:t>
      </w:r>
    </w:p>
    <w:tbl>
      <w:tblPr>
        <w:tblW w:w="10205" w:type="dxa"/>
        <w:jc w:val="left"/>
        <w:tblInd w:w="0" w:type="dxa"/>
        <w:tblLayout w:type="fixed"/>
        <w:tblCellMar>
          <w:top w:w="28" w:type="dxa"/>
          <w:left w:w="28" w:type="dxa"/>
          <w:bottom w:w="28" w:type="dxa"/>
          <w:right w:w="28" w:type="dxa"/>
        </w:tblCellMar>
      </w:tblPr>
      <w:tblGrid>
        <w:gridCol w:w="2012"/>
        <w:gridCol w:w="1754"/>
        <w:gridCol w:w="1761"/>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5"/>
      </w:tblGrid>
      <w:tr>
        <w:tc>
          <w:tcPr>
            <w:tcW w:w="2012"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5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dilutive RSUs, stock options and ESPP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computation of diluted net income per share because including them would have been antidilutive:</w:t>
      </w:r>
    </w:p>
    <w:tbl>
      <w:tblPr>
        <w:tblW w:w="8554" w:type="dxa"/>
        <w:jc w:val="left"/>
        <w:tblInd w:w="0" w:type="dxa"/>
        <w:tblLayout w:type="fixed"/>
        <w:tblCellMar>
          <w:top w:w="28" w:type="dxa"/>
          <w:left w:w="28" w:type="dxa"/>
          <w:bottom w:w="28" w:type="dxa"/>
          <w:right w:w="28" w:type="dxa"/>
        </w:tblCellMar>
      </w:tblPr>
      <w:tblGrid>
        <w:gridCol w:w="1621"/>
        <w:gridCol w:w="1425"/>
        <w:gridCol w:w="1439"/>
        <w:gridCol w:w="109"/>
        <w:gridCol w:w="109"/>
        <w:gridCol w:w="109"/>
        <w:gridCol w:w="208"/>
        <w:gridCol w:w="198"/>
        <w:gridCol w:w="177"/>
        <w:gridCol w:w="177"/>
        <w:gridCol w:w="177"/>
        <w:gridCol w:w="177"/>
        <w:gridCol w:w="212"/>
        <w:gridCol w:w="194"/>
        <w:gridCol w:w="187"/>
        <w:gridCol w:w="109"/>
        <w:gridCol w:w="109"/>
        <w:gridCol w:w="109"/>
        <w:gridCol w:w="203"/>
        <w:gridCol w:w="203"/>
        <w:gridCol w:w="165"/>
        <w:gridCol w:w="165"/>
        <w:gridCol w:w="165"/>
        <w:gridCol w:w="165"/>
        <w:gridCol w:w="203"/>
        <w:gridCol w:w="203"/>
        <w:gridCol w:w="236"/>
      </w:tblGrid>
      <w:tr>
        <w:tc>
          <w:tcPr>
            <w:tcW w:w="162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NerdWallet, Inc. (NerdWallet, we, our, or us) provides consumers and small and mid-sized businesses (SMBs) with trusted guidance across a broad range of finance topics through a digital platform that integrates independent editorial content, comparison tools, data-driven product marketplaces, and access to regulated financial services offered through our subsidiaries. Our mission is to provide clarity for all of life’s financial decisions. Our vision is a world where everyone makes financial decisions with confidence.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enables users to compare financial products, access educational resources, receive personalized insights, and connect with third-party providers across credit cards, banking, insurance, lending, investing, wealth management, and other financial categories. We generate revenue primarily through referral fees, lead generation, and partner-based monetization, as well as through revenue derived from brokering and advisory services.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model is designed to be partner-neutral and to support transparent consumer and SMB choice by offering side-by-side comparisons and unbiased information supported by editorial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20, 2026, we entered into a Membership Interest Purchase Agreement with inspHIRE IO Corp., d/b/a Candidly, pursuant to which we acquired 100% of the outstanding membership interests of College Finance Company, LLC, which operates a student loan marketplace to connect borrowers with lenders. The preliminary purchase consideration for this acquisition was $17.2 million in cash which was paid during the nine months ended September 30, 2026, including $1.5 million which was placed into escrow to secure potential post-closing indemnification rights.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as part of our ongoing efforts to align our operations with our strategic priorities, we have ceased revenue-generating operations outside of North America. We do not expect this action to have a material impact on our financial condition, results of operations or liquidity.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10, 2026, we acquired a privately-held financial services company for a preliminary purchase consideration of $5.4 million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non-GAAP financial measures we use to evaluate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pStyle w:val="TextBody"/>
        <w:bidi w:val="0"/>
        <w:spacing w:lineRule="auto" w:line="288" w:before="0" w:after="180"/>
        <w:ind w:left="0" w:right="0" w:firstLine="360"/>
        <w:jc w:val="both"/>
      </w:pPr>
      <w:r>
        <w:rPr>
          <w:rFonts w:ascii="Times New Roman;serif" w:hAnsi="Times New Roman;serif"/>
          <w:b/>
          <w:i/>
          <w:color w:val="000000"/>
          <w:sz w:val="20"/>
        </w:rPr>
        <w:t>Non-GAAP operating income (loss):</w:t>
      </w:r>
      <w:r>
        <w:rPr>
          <w:color w:val="000000"/>
        </w:rPr>
        <w:t xml:space="preserve"> </w:t>
      </w:r>
      <w:r>
        <w:rPr>
          <w:rFonts w:ascii="Times New Roman;serif" w:hAnsi="Times New Roman;serif"/>
          <w:b w:val="false"/>
          <w:color w:val="000000"/>
          <w:sz w:val="20"/>
        </w:rPr>
        <w:t>We define non-GAAP operating income (loss) as income (loss) from operations adjusted to exclude depreciation and amortization, and further exclude (1) losses (gains) on disposals of assets, (2) acquisition-related costs, (3) restructuring charges, and (4) stock-based compensation resulting from the accelerated vesting of equity awards in connection with certain terminations of employment, reductions in force, business combinations or dispositions, or changes in control, in each case to the extent not already excluded under (2) or (3). We also reduce income from operations, or increase loss from operations, for capitalized internally developed software costs.</w:t>
      </w:r>
    </w:p>
    <w:p>
      <w:pPr>
        <w:pStyle w:val="TextBody"/>
        <w:bidi w:val="0"/>
        <w:spacing w:lineRule="auto" w:line="288" w:before="0" w:after="180"/>
        <w:ind w:left="0" w:right="0" w:firstLine="360"/>
        <w:jc w:val="both"/>
      </w:pPr>
      <w:r>
        <w:rPr>
          <w:rFonts w:ascii="Times New Roman;serif" w:hAnsi="Times New Roman;serif"/>
          <w:b/>
          <w:i/>
          <w:color w:val="000000"/>
          <w:sz w:val="20"/>
        </w:rPr>
        <w:t>Adjusted EBITDA:</w:t>
      </w:r>
      <w:r>
        <w:rPr>
          <w:color w:val="000000"/>
        </w:rPr>
        <w:t xml:space="preserve"> </w:t>
      </w:r>
      <w:r>
        <w:rPr>
          <w:rFonts w:ascii="Times New Roman;serif" w:hAnsi="Times New Roman;serif"/>
          <w:b w:val="false"/>
          <w:color w:val="000000"/>
          <w:sz w:val="20"/>
        </w:rPr>
        <w:t xml:space="preserve">We define adjusted EBITDA as net income (loss) from continuing operations adjusted to exclude depreciation and amortization, interest income (expense), net, other gains (losses), net, and provision (benefit) for income taxes, and further exclude (1) losses (gains) on disposals of assets, (2) stock-based compensation, (3) acquisition-related costs, and (4) restructuring charges.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Non-GAAP operating income (loss) and adjusted EBITDA exclude certain recurring, non-cash charges, such as amortization of software, depreciation of property and equipment, amortization of intangible assets,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Non-GAAP operating income (loss) and adjusted EBITDA exclude certain acquisition-related costs, including acquisition-related retention compensation under compensatory retention agreements with certain key employees, and acquisition-related transaction expenses;</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 implemented in 2024;</w:t>
      </w:r>
    </w:p>
    <w:p>
      <w:pPr>
        <w:pStyle w:val="TextBody"/>
        <w:bidi w:val="0"/>
        <w:spacing w:lineRule="auto" w:line="288" w:before="120" w:after="180"/>
        <w:ind w:left="0" w:right="0" w:hanging="360"/>
        <w:jc w:val="both"/>
      </w:pPr>
      <w:r>
        <w:rPr>
          <w:color w:val="000000"/>
        </w:rPr>
        <w:t>•</w:t>
      </w:r>
      <w:r>
        <w:rPr>
          <w:rFonts w:ascii="Times New Roman;serif" w:hAnsi="Times New Roman;serif"/>
          <w:b w:val="false"/>
          <w:color w:val="000000"/>
          <w:sz w:val="20"/>
        </w:rPr>
        <w:t>Non-GAAP operating income (loss) excludes stock-based compensation resulting from the accelerated vesting of equity awards in connection with certain terminations of employment, reductions in force, business combinations or dispositions, or changes in control, in each case to the extent not already excluded under acquisition-related costs or restructuring charges;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Adjusted EBITDA does not reflect interest income (expense) and other gains (losses), net, which include unrealized and realized gains and losses on foreign currency exchange, as well as certain nonrecurring gains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financial measures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our results of operations for the periods presented. The following discussion should be read in conjunction with the condensed consolidated financial statements and related notes included elsewhere in this Quarterly Report on Form 10-Q. </w:t>
      </w:r>
    </w:p>
    <w:tbl>
      <w:tblPr>
        <w:tblW w:w="7541" w:type="dxa"/>
        <w:jc w:val="left"/>
        <w:tblInd w:w="0" w:type="dxa"/>
        <w:tblLayout w:type="fixed"/>
        <w:tblCellMar>
          <w:top w:w="28" w:type="dxa"/>
          <w:left w:w="28" w:type="dxa"/>
          <w:bottom w:w="28" w:type="dxa"/>
          <w:right w:w="28" w:type="dxa"/>
        </w:tblCellMar>
      </w:tblPr>
      <w:tblGrid>
        <w:gridCol w:w="862"/>
        <w:gridCol w:w="757"/>
        <w:gridCol w:w="76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659.1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611.2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45.8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stock-based compensation as follows:</w:t>
      </w:r>
    </w:p>
    <w:tbl>
      <w:tblPr>
        <w:tblW w:w="6686" w:type="dxa"/>
        <w:jc w:val="left"/>
        <w:tblInd w:w="0" w:type="dxa"/>
        <w:tblLayout w:type="fixed"/>
        <w:tblCellMar>
          <w:top w:w="28" w:type="dxa"/>
          <w:left w:w="28" w:type="dxa"/>
          <w:bottom w:w="28" w:type="dxa"/>
          <w:right w:w="28" w:type="dxa"/>
        </w:tblCellMar>
      </w:tblPr>
      <w:tblGrid>
        <w:gridCol w:w="845"/>
        <w:gridCol w:w="742"/>
        <w:gridCol w:w="752"/>
        <w:gridCol w:w="109"/>
        <w:gridCol w:w="109"/>
        <w:gridCol w:w="109"/>
        <w:gridCol w:w="196"/>
        <w:gridCol w:w="46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54"/>
      </w:tblGrid>
      <w:t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Nine Months Ended</w:t>
              <w:br/>
              <w:t>September 30,</w:t>
            </w:r>
          </w:p>
        </w:tc>
      </w:tr>
      <w:tr>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condensed consolidated statements of operations as a percentage of revenue:</w:t>
      </w:r>
    </w:p>
    <w:tbl>
      <w:tblPr>
        <w:tblW w:w="6846" w:type="dxa"/>
        <w:jc w:val="left"/>
        <w:tblInd w:w="0" w:type="dxa"/>
        <w:tblLayout w:type="fixed"/>
        <w:tblCellMar>
          <w:top w:w="28" w:type="dxa"/>
          <w:left w:w="28" w:type="dxa"/>
          <w:bottom w:w="28" w:type="dxa"/>
          <w:right w:w="28" w:type="dxa"/>
        </w:tblCellMar>
      </w:tblPr>
      <w:tblGrid>
        <w:gridCol w:w="861"/>
        <w:gridCol w:w="759"/>
        <w:gridCol w:w="764"/>
        <w:gridCol w:w="109"/>
        <w:gridCol w:w="109"/>
        <w:gridCol w:w="109"/>
        <w:gridCol w:w="210"/>
        <w:gridCol w:w="211"/>
        <w:gridCol w:w="333"/>
        <w:gridCol w:w="134"/>
        <w:gridCol w:w="134"/>
        <w:gridCol w:w="134"/>
        <w:gridCol w:w="210"/>
        <w:gridCol w:w="211"/>
        <w:gridCol w:w="333"/>
        <w:gridCol w:w="109"/>
        <w:gridCol w:w="109"/>
        <w:gridCol w:w="109"/>
        <w:gridCol w:w="210"/>
        <w:gridCol w:w="211"/>
        <w:gridCol w:w="313"/>
        <w:gridCol w:w="126"/>
        <w:gridCol w:w="126"/>
        <w:gridCol w:w="126"/>
        <w:gridCol w:w="210"/>
        <w:gridCol w:w="211"/>
        <w:gridCol w:w="365"/>
      </w:tblGrid>
      <w:t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from operations decreased $15.0 million, or 44%, for the three months ended September 30, 2026, and increased $7.8 million, or 17%, for the nine months ended September 30, 2026, compared to the three and nine months ended September 30, 2025, as revenue increased $24.5 million and $47.9 million, respectively, while operating expenses increased $39.5 million and $40.1 million, respectively, primarily attributable to increases of $37.9 million and $44.7 million in sales and marketing expenses, respectively.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decreased $11.4 million, or 43%, for the three months ended September 30, 2026 compared to the three months ended September 30, 2025, as a $15.0 million decrease in income from operations was partially offset by a $4.4 million decrease in income tax provision. Net income increased $4.9 million, or 14%, for the nine months ended September 30, 2026 compared to the nine months ended September 30, 2025, primarily driven by a $7.8 million increase in income from operations, partially offset by a $1.8 million increase in income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i/>
          <w:color w:val="000000"/>
          <w:sz w:val="20"/>
        </w:rPr>
        <w:t>Revenue</w:t>
      </w:r>
      <w:r>
        <w:rPr>
          <w:color w:val="00000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with the three months ended March 31, 2026, we present revenue disaggregated by our user groups: Consumer and SMB. This presentation is consistent with recent changes in how management evaluates our financial and business performance, including the information currently reviewed by our chief operating decision maker. Consumer revenue includes revenue from financial products and services intended for individual consumers, including insurance, credit cards, loans, banking and other products and services. Consumer revenue includes our previously reported Insurance, Credit cards, Loans and Emerging verticals product categories. SMB revenue includes revenue from financial products and services intended for SMBs, including loans, credit cards and other products and services. Prior period disaggregation of revenue has been recast to conform to this new presentation. The following presents a disaggregation of our revenue based on user group:</w:t>
      </w:r>
    </w:p>
    <w:tbl>
      <w:tblPr>
        <w:tblW w:w="10337" w:type="dxa"/>
        <w:jc w:val="left"/>
        <w:tblInd w:w="0" w:type="dxa"/>
        <w:tblLayout w:type="fixed"/>
        <w:tblCellMar>
          <w:top w:w="28" w:type="dxa"/>
          <w:left w:w="28" w:type="dxa"/>
          <w:bottom w:w="28" w:type="dxa"/>
          <w:right w:w="28" w:type="dxa"/>
        </w:tblCellMar>
      </w:tblPr>
      <w:tblGrid>
        <w:gridCol w:w="347"/>
        <w:gridCol w:w="305"/>
        <w:gridCol w:w="294"/>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158"/>
        <w:gridCol w:w="158"/>
        <w:gridCol w:w="301"/>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158"/>
        <w:gridCol w:w="158"/>
        <w:gridCol w:w="346"/>
      </w:tblGrid>
      <w:t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659.1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611.2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increased $24.5 million, or 11%, and $47.9 million, or 8%, for the three and nine months ended September 30, 2026 compared to the three and nine months ended September 30, 2025, respectively, primarily driven by growth in Consumer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Consumer revenue increased $23.0 million, or 12%, and $53.6 million, or 10%, for the three and nine months ended September 30, 2026 compared to the three and nine months ended September 30, 2025, respectively, primarily driven by increases of $8.6 million and $39.1 million from deposit accounts, respectively, as partners expanded budgets, $13.3 million and $38.3 million from personal loans, respectively, as we expanded our marketplace offerings to serve a broader range of borrowers, and $25.0 million and $28.5 million from student loans, respectively, reflecting recent changes in federal borrowing limits, and the peak summer lending season, as well as the incorporation of our recent acquisition of College Finance. These increases were partially offset by decreases of $17.4 million and $30.3 million from auto insurance products, respectively, reflecting lower lead volume. as well as a $25.9 million decrease from consumer credit cards for the nine months ended September 30, 2026 primarily due to continued pressures in organic search traffic that have persisted for multiple quarters.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SMB revenue increased $1.5 million, or 6%, for the three months ended September 30, 2026 compared to the three months ended September 30, 2025, as an increase in business loan originations was partially offset by continued pressures in organic search traffic. SMB revenue decreased $5.7 million, or 7%, for the nine months ended September 30, 2026 compared to the nine months ended September 30, 2025, as continued pressures in organic search traffic were partially offset by an increase in business loan originations.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i/>
          <w:color w:val="000000"/>
          <w:sz w:val="20"/>
        </w:rPr>
        <w:t>Costs and Expenses</w:t>
      </w:r>
      <w:r>
        <w:rPr>
          <w:color w:val="000000"/>
        </w:rPr>
        <w:t xml:space="preserve"> </w:t>
      </w:r>
    </w:p>
    <w:tbl>
      <w:tblPr>
        <w:tblW w:w="10802" w:type="dxa"/>
        <w:jc w:val="left"/>
        <w:tblInd w:w="0" w:type="dxa"/>
        <w:tblLayout w:type="fixed"/>
        <w:tblCellMar>
          <w:top w:w="28" w:type="dxa"/>
          <w:left w:w="28" w:type="dxa"/>
          <w:bottom w:w="28" w:type="dxa"/>
          <w:right w:w="28" w:type="dxa"/>
        </w:tblCellMar>
      </w:tblPr>
      <w:tblGrid>
        <w:gridCol w:w="609"/>
        <w:gridCol w:w="443"/>
        <w:gridCol w:w="239"/>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188"/>
        <w:gridCol w:w="188"/>
        <w:gridCol w:w="301"/>
        <w:gridCol w:w="109"/>
        <w:gridCol w:w="109"/>
        <w:gridCol w:w="109"/>
        <w:gridCol w:w="211"/>
        <w:gridCol w:w="631"/>
        <w:gridCol w:w="109"/>
        <w:gridCol w:w="109"/>
        <w:gridCol w:w="109"/>
        <w:gridCol w:w="109"/>
        <w:gridCol w:w="211"/>
        <w:gridCol w:w="631"/>
        <w:gridCol w:w="109"/>
        <w:gridCol w:w="109"/>
        <w:gridCol w:w="109"/>
        <w:gridCol w:w="109"/>
        <w:gridCol w:w="211"/>
        <w:gridCol w:w="526"/>
        <w:gridCol w:w="109"/>
        <w:gridCol w:w="109"/>
        <w:gridCol w:w="109"/>
        <w:gridCol w:w="109"/>
        <w:gridCol w:w="188"/>
        <w:gridCol w:w="188"/>
        <w:gridCol w:w="346"/>
      </w:tblGrid>
      <w:tr>
        <w:tc>
          <w:tcPr>
            <w:tcW w:w="6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220.2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180.7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605.5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565.4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decreased $1.5 million, or 10%, and $9.3 million, or 19%, for the three and nine months ended September 30, 2026 compared to the three and nine months ended September 30, 2025, respectively, primarily due to decreases of $1.8 million and $8.2 million, respectively, in amortization expense related to capitalized software development costs.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$2.1 million, or 13%, and $1.7 million, or 3%, for the three and nine months ended September 30, 2026 compared to the three and nine months ended September 30, 2025, respectively, primarily attributable to increases of $1.8 million and $1.9 million, respectively, in personnel-related costs for our engineering, data, and product management personnel and contractors, primarily reflecting lower capitalized internally developed software costs.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sales and marketing expense, including as a percentage of total sales and marketing expense, are as follows:</w:t>
      </w:r>
    </w:p>
    <w:tbl>
      <w:tblPr>
        <w:tblW w:w="10479" w:type="dxa"/>
        <w:jc w:val="left"/>
        <w:tblInd w:w="0" w:type="dxa"/>
        <w:tblLayout w:type="fixed"/>
        <w:tblCellMar>
          <w:top w:w="28" w:type="dxa"/>
          <w:left w:w="28" w:type="dxa"/>
          <w:bottom w:w="28" w:type="dxa"/>
          <w:right w:w="28" w:type="dxa"/>
        </w:tblCellMar>
      </w:tblPr>
      <w:tblGrid>
        <w:gridCol w:w="407"/>
        <w:gridCol w:w="357"/>
        <w:gridCol w:w="362"/>
        <w:gridCol w:w="109"/>
        <w:gridCol w:w="109"/>
        <w:gridCol w:w="109"/>
        <w:gridCol w:w="211"/>
        <w:gridCol w:w="631"/>
        <w:gridCol w:w="109"/>
        <w:gridCol w:w="109"/>
        <w:gridCol w:w="109"/>
        <w:gridCol w:w="109"/>
        <w:gridCol w:w="210"/>
        <w:gridCol w:w="211"/>
        <w:gridCol w:w="301"/>
        <w:gridCol w:w="109"/>
        <w:gridCol w:w="109"/>
        <w:gridCol w:w="109"/>
        <w:gridCol w:w="211"/>
        <w:gridCol w:w="631"/>
        <w:gridCol w:w="109"/>
        <w:gridCol w:w="109"/>
        <w:gridCol w:w="109"/>
        <w:gridCol w:w="109"/>
        <w:gridCol w:w="210"/>
        <w:gridCol w:w="211"/>
        <w:gridCol w:w="301"/>
        <w:gridCol w:w="109"/>
        <w:gridCol w:w="109"/>
        <w:gridCol w:w="109"/>
        <w:gridCol w:w="211"/>
        <w:gridCol w:w="631"/>
        <w:gridCol w:w="109"/>
        <w:gridCol w:w="109"/>
        <w:gridCol w:w="109"/>
        <w:gridCol w:w="109"/>
        <w:gridCol w:w="210"/>
        <w:gridCol w:w="211"/>
        <w:gridCol w:w="301"/>
        <w:gridCol w:w="109"/>
        <w:gridCol w:w="109"/>
        <w:gridCol w:w="109"/>
        <w:gridCol w:w="211"/>
        <w:gridCol w:w="631"/>
        <w:gridCol w:w="109"/>
        <w:gridCol w:w="109"/>
        <w:gridCol w:w="109"/>
        <w:gridCol w:w="109"/>
        <w:gridCol w:w="210"/>
        <w:gridCol w:w="211"/>
        <w:gridCol w:w="346"/>
      </w:tblGrid>
      <w:t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173.2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135.3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467.7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423.0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able to adjust our marketing spend to reflect changes in external factors and consumer behavior.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$37.9 million, or 28%, and $44.7 million, or 11%, for the three and nine months ended September 30, 2026 compared to the three and nine months ended September 30, 2025, respectively, primarily attributable to increases in performance marketing expenses of $35.1 million and $85.8 million, respectively. Other marketing expenses increased $2.8 million for the three months ended September 30, 2026 compared to the three months ended September 30, 2025, primarily due to $3.9 million of accelerated stock-based compensation related to certain terminated employees, partially offset by lower brand marketing expenses. Other marketing expenses decreased $41.1 million for the nine months ended September 30, 2026 compared to the nine months ended September 30, 2025, primarily due to lower brand marketing expenses, partially offset by $3.9 million of accelerated stock-based compensation related to certain terminated employees.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$1.0 million, or 7%, and $3.0 million, or 7%, for the three and nine months ended September 30, 2026 compared to the three and nine months ended September 30, 2025, respectively, primarily attributable to increases of $1.2 million and $2.7 million, respectively, in personnel-related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613"/>
        <w:gridCol w:w="490"/>
        <w:gridCol w:w="495"/>
        <w:gridCol w:w="109"/>
        <w:gridCol w:w="109"/>
        <w:gridCol w:w="109"/>
        <w:gridCol w:w="211"/>
        <w:gridCol w:w="421"/>
        <w:gridCol w:w="109"/>
        <w:gridCol w:w="109"/>
        <w:gridCol w:w="109"/>
        <w:gridCol w:w="109"/>
        <w:gridCol w:w="211"/>
        <w:gridCol w:w="421"/>
        <w:gridCol w:w="109"/>
        <w:gridCol w:w="109"/>
        <w:gridCol w:w="109"/>
        <w:gridCol w:w="109"/>
        <w:gridCol w:w="211"/>
        <w:gridCol w:w="456"/>
        <w:gridCol w:w="109"/>
        <w:gridCol w:w="109"/>
        <w:gridCol w:w="109"/>
        <w:gridCol w:w="109"/>
        <w:gridCol w:w="188"/>
        <w:gridCol w:w="188"/>
        <w:gridCol w:w="336"/>
        <w:gridCol w:w="109"/>
        <w:gridCol w:w="109"/>
        <w:gridCol w:w="109"/>
        <w:gridCol w:w="211"/>
        <w:gridCol w:w="421"/>
        <w:gridCol w:w="109"/>
        <w:gridCol w:w="109"/>
        <w:gridCol w:w="109"/>
        <w:gridCol w:w="109"/>
        <w:gridCol w:w="211"/>
        <w:gridCol w:w="421"/>
        <w:gridCol w:w="109"/>
        <w:gridCol w:w="109"/>
        <w:gridCol w:w="109"/>
        <w:gridCol w:w="109"/>
        <w:gridCol w:w="211"/>
        <w:gridCol w:w="456"/>
        <w:gridCol w:w="109"/>
        <w:gridCol w:w="109"/>
        <w:gridCol w:w="109"/>
        <w:gridCol w:w="109"/>
        <w:gridCol w:w="188"/>
        <w:gridCol w:w="188"/>
        <w:gridCol w:w="387"/>
      </w:tblGrid>
      <w:tr>
        <w:tc>
          <w:tcPr>
            <w:tcW w:w="6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15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$0.8 million, or 71%, and $1.1 million, or 41%, for the three and nine months ended September 30, 2026 compared to the three and nine months ended September 30, 2025, respectively, primarily attributable to lower interest income reflecting lower average cash balances in interest-earning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for interim periods is determined using an estimated annual effective tax rate which is adjusted for discrete items occurring during the period. We had income tax provisions of $4.8 million and $15.4 million for the three and nine months ended September 30, 2026, and $9.2 million and $13.6 million for the three and nine months ended September 30, 2025, respectively. Our effective tax rate was 24.5% and 28.0% for the three and nine months ended September 30, 2026, and 25.8% and 28.1% for the three and nine months ended September 30, 2025, respectively. Our effective tax rate for the three and nine months ended September 30, 2026 differs from the U.S. federal statutory income tax rate of 21% primarily due to state taxes, stock-based compensation and interest on uncertain tax positions. Our effective tax rate for the three and nine months ended September 30, 2025 differed from the U.S. federal statutory income tax rate of 21% primarily due to discrete items related to stock-based compensation and uncertain tax positions.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valuation allowance on our California deferred tax assets, which consist primarily of tax credits, as of September 30, 2026. Our judgment regarding the likelihood of realization of these deferred tax assets could change in future periods, which could result in a material impact to our income tax provision in the period of change.</w:t>
      </w:r>
    </w:p>
    <w:p>
      <w:pPr>
        <w:pStyle w:val="TextBody"/>
        <w:bidi w:val="0"/>
        <w:spacing w:before="0" w:after="0"/>
        <w:ind w:left="0" w:right="0" w:firstLine="36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compensate for these limitations by reconciling non-GAAP operating income to income from operations, and adjusted EBITDA to net income, the most comparable GAAP financial measures, as follows:</w:t>
      </w:r>
    </w:p>
    <w:tbl>
      <w:tblPr>
        <w:tblW w:w="9765" w:type="dxa"/>
        <w:jc w:val="left"/>
        <w:tblInd w:w="0" w:type="dxa"/>
        <w:tblLayout w:type="fixed"/>
        <w:tblCellMar>
          <w:top w:w="28" w:type="dxa"/>
          <w:left w:w="28" w:type="dxa"/>
          <w:bottom w:w="28" w:type="dxa"/>
          <w:right w:w="28" w:type="dxa"/>
        </w:tblCellMar>
      </w:tblPr>
      <w:tblGrid>
        <w:gridCol w:w="1506"/>
        <w:gridCol w:w="1322"/>
        <w:gridCol w:w="1342"/>
        <w:gridCol w:w="109"/>
        <w:gridCol w:w="109"/>
        <w:gridCol w:w="109"/>
        <w:gridCol w:w="211"/>
        <w:gridCol w:w="526"/>
        <w:gridCol w:w="271"/>
        <w:gridCol w:w="109"/>
        <w:gridCol w:w="109"/>
        <w:gridCol w:w="109"/>
        <w:gridCol w:w="211"/>
        <w:gridCol w:w="526"/>
        <w:gridCol w:w="271"/>
        <w:gridCol w:w="109"/>
        <w:gridCol w:w="109"/>
        <w:gridCol w:w="109"/>
        <w:gridCol w:w="211"/>
        <w:gridCol w:w="631"/>
        <w:gridCol w:w="271"/>
        <w:gridCol w:w="109"/>
        <w:gridCol w:w="109"/>
        <w:gridCol w:w="109"/>
        <w:gridCol w:w="211"/>
        <w:gridCol w:w="631"/>
        <w:gridCol w:w="316"/>
      </w:tblGrid>
      <w:t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19.4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45.8</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accelerated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30.4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41.3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76.3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71.3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Non-GAAP operating income margin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26.3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34.7</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108.1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108.3</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accelerated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30.4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41.3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76.3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71.3</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Adjusted EBITDA margin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non-GAAP operating income as a percentage of revenue.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adjusted EBITDA as a percentage of revenue.</w:t>
      </w:r>
    </w:p>
    <w:p>
      <w:pPr>
        <w:pStyle w:val="TextBody"/>
        <w:bidi w:val="0"/>
        <w:spacing w:before="0" w:after="0"/>
        <w:ind w:left="0" w:right="0" w:hanging="360"/>
        <w:jc w:val="both"/>
      </w:p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Operations—Results of Operations” for a discussion of the changes in income from operations and net income for the three and nine months ended September 30, 2026 compared to the three and nine months ended September 30,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Non-GAAP operating income decreased $10.9 million, or 27%, for the three months ended September 30, 2026 compared to the three months ended September 30, 2025, primarily due to a $15.0 million decrease in income from operations and a $1.6 million decrease in depreciation and amortization, partially offset by $3.9 million of stock-based compensation for accelerated vesting of equity awards for the three months ended September 30, 2026 and a $2.6 million decrease in capitalized internally developed software costs.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operating income increased $5.0 million, or 7%, for the nine months ended September 30, 2026 compared to the nine months ended September 30, 2025, primarily due to a $7.8 million increase in income from operations and a $3.9 million decrease in capitalized internally developed software costs, partially offset by a $7.9 million decrease in depreciation and amortization. The increase in non-GAAP operating income also reflects $3.9 million of stock-based compensation for accelerated vesting of equity awards for the nine months ended September 30, 2026, partially offset by $1.6 million of acquisition-related retention for the nine months ended September 30,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decreased $13.8 million, or 26%, for the three months ended September 30, 2026 compared to the three months ended September 30, 2025, reflecting decreases of $11.4 million in net income and $2.4 million in adjustments to reconcile adjusted EBITDA to net income, primarily comprised of decreases of $4.4 million in income tax provision and $1.6 million in depreciation and amortization, partially offset by a $3.6 million increase in stock-based compensation. Adjusted EBITDA decreased $0.2 million for the nine months ended September 30, 2026 compared to the nine months ended September 30, 2025, as a $4.9 million increase in net income was offset by a $5.1 million decrease in adjustments to reconcile adjusted EBITDA to net income, primarily comprised of a $7.9 million decrease in depreciation and amortization and $1.6 million of acquisition-related retention in the nine months ended September 30, 2025, partially offset by increases of $2.6 million in stock-based compensation and $1.8 million in income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to meet our business requirements and plans, both in the short-term (i.e., the next twelve months from September 30, 2026) and long-term (i.e., beyond the next twelve months), have historically been cash generated from operations. Our primary liquidity needs are related to the funding of general business requirements, including working capital requirements, research and development, and capital expenditures, as well as other liquidity requirements including, but not limited to, business combinations.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we had cash and cash equivalents of $73.5 million and $98.3 million,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Known Contractual and Other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description of contractual commitments as of September 30, 2026 is included in Note 6–Commitments and Contingencies in the notes to our condensed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 broadly, we also have purchase obligations under contractual arrangements with vendors and service providers, including for certain web-hosting and cloud computing services and advertising, which do not qualify for recognition on our condensed consolidated balance sheets but which we consider non-cancellable. During the nine months ended September 30, 2026, there have been no material changes in our purchase obligations as disclosed in “Management’s Discussion and Analysis of Financial Condition and Results of Operations—Liquidity and Capital Resources” in our Annual Report on Form 10-K for the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Trends, Uncertainties and Anticipated Sources of Funds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pPr>
      <w:r>
        <w:rPr>
          <w:rFonts w:ascii="Times New Roman;serif" w:hAnsi="Times New Roman;serif"/>
          <w:b/>
          <w:i/>
          <w:color w:val="000000"/>
          <w:sz w:val="20"/>
        </w:rPr>
        <w:t xml:space="preserve">Share Repurchase Program: </w:t>
      </w:r>
      <w:r>
        <w:rPr>
          <w:rFonts w:ascii="Times New Roman;serif" w:hAnsi="Times New Roman;serif"/>
          <w:b w:val="false"/>
          <w:color w:val="000000"/>
          <w:sz w:val="20"/>
        </w:rPr>
        <w:t>We maintain a share repurchase program under which we may purchase shares of our Class A common stock (the Repurchase Program), originally authorized by our Board of Directors in May 2023 and subsequently increased through additional authorizations from time to time. In February 2026, our Board of Directors approved an increase of $100.0 million to the amount authorized for repurchases under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are at management’s discretion and depend on a variety of factors, including business, economic and market conditions, regulatory requirements, prevailing stock prices and other considerations. Additionally, we may, from time to time, enter into Rule 10b5</w:t>
      </w:r>
      <w:r>
        <w:rPr>
          <w:color w:val="000000"/>
        </w:rPr>
        <w:noBreakHyphen/>
      </w:r>
      <w:r>
        <w:rPr>
          <w:rFonts w:ascii="Times New Roman;serif" w:hAnsi="Times New Roman;serif"/>
          <w:b w:val="false"/>
          <w:color w:val="000000"/>
          <w:sz w:val="20"/>
        </w:rPr>
        <w:t>1 trading plans to facilitate repurchases. Shares repurchased under the Repurchase Program are retired. We expect to fund repurchases with existing cash and cash equivalents. We repurchased 9.8 million shares of Class A common stock for $99.7 million, including costs associated with the repurchases, during the nine months ended September 30, 2026. Additionally, we paid $0.4 million of excise taxes during the nine months ended September 30, 2026 which related to previous share repurchases.</w:t>
      </w:r>
    </w:p>
    <w:p>
      <w:pPr>
        <w:pStyle w:val="TextBody"/>
        <w:bidi w:val="0"/>
        <w:spacing w:lineRule="auto" w:line="288" w:before="0" w:after="180"/>
        <w:ind w:left="0" w:right="0" w:firstLine="360"/>
        <w:jc w:val="both"/>
      </w:pPr>
      <w:r>
        <w:rPr>
          <w:rFonts w:ascii="Times New Roman;serif" w:hAnsi="Times New Roman;serif"/>
          <w:b/>
          <w:i/>
          <w:color w:val="000000"/>
          <w:sz w:val="20"/>
        </w:rPr>
        <w:t>Credit Facility:</w:t>
      </w:r>
      <w:r>
        <w:rPr>
          <w:color w:val="000000"/>
        </w:rPr>
        <w:t xml:space="preserve"> </w:t>
      </w:r>
      <w:r>
        <w:rPr>
          <w:rFonts w:ascii="Times New Roman;serif" w:hAnsi="Times New Roman;serif"/>
          <w:b w:val="false"/>
          <w:color w:val="000000"/>
          <w:sz w:val="20"/>
        </w:rPr>
        <w:t>We, including three of our wholly-owned subsidiaries, maintain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We had no outstanding balance on our Credit Agreement as of September 30, 2026 or December 31, 2025. The available amount to borrow under our Credit Agreement was $124.5 million at both September 30, 2026 and December 31, 2025, which was equal to the available amount under the Credit Agreement of $125.0 million, net of letters of credit of $0.5 million. Our Credit Agreement contains certain customary financial and non-financial covenants. We were in compliance with all covenants as of September 30, 2026 and December 31, 2025.</w:t>
      </w:r>
    </w:p>
    <w:p>
      <w:pPr>
        <w:pStyle w:val="TextBody"/>
        <w:bidi w:val="0"/>
        <w:spacing w:lineRule="auto" w:line="288" w:before="0" w:after="180"/>
        <w:ind w:left="0" w:right="0" w:firstLine="360"/>
        <w:jc w:val="both"/>
      </w:pPr>
      <w:r>
        <w:rPr>
          <w:rFonts w:ascii="Times New Roman;serif" w:hAnsi="Times New Roman;serif"/>
          <w:b/>
          <w:i/>
          <w:color w:val="000000"/>
          <w:sz w:val="20"/>
        </w:rPr>
        <w:t xml:space="preserve">Warehouse Line of Credit: </w:t>
      </w:r>
      <w:r>
        <w:rPr>
          <w:rFonts w:ascii="Times New Roman;serif" w:hAnsi="Times New Roman;serif"/>
          <w:b w:val="false"/>
          <w:color w:val="000000"/>
          <w:sz w:val="20"/>
        </w:rPr>
        <w:t>Next Door Lending LLC (NDL), a wholly-owned subsidiary, maintains a $15.0 million warehouse line of credit, which may be increased to $18.75 million for up to 90 days subject to certain requirements, to provide NDL short-term funding for mortgage loans originated for sale. Borrowings under the warehouse line of credit bear interest at the greater of the interest rate of the underlying mortgage loans held for sale, subject to a 5.25% minimum rate, and are secured by the underlying promissory notes of the mortgage loans held for sale, as well as NDL’s other assets. The warehouse line of credit matures on February 1, 2027. NDL had $3.7 million outstanding under the warehouse line of credit as of September 30, 2026, which is included in accrued expenses and other current liabilities on our condensed consolidated balance sheets. The warehouse line of credit requires NDL to comply with certain minimum tangible net worth, liquidity, and insurance requirements. NDL was in compliance with all covenants as of September 30, 2026 and December 31, 2025.</w:t>
      </w:r>
    </w:p>
    <w:p>
      <w:pPr>
        <w:pStyle w:val="TextBody"/>
        <w:bidi w:val="0"/>
        <w:spacing w:lineRule="auto" w:line="288" w:before="0" w:after="180"/>
        <w:ind w:left="0" w:right="0" w:firstLine="360"/>
        <w:jc w:val="both"/>
      </w:pPr>
      <w:r>
        <w:rPr>
          <w:rFonts w:ascii="Times New Roman;serif" w:hAnsi="Times New Roman;serif"/>
          <w:b/>
          <w:i/>
          <w:color w:val="000000"/>
          <w:sz w:val="20"/>
        </w:rPr>
        <w:t xml:space="preserve">Extension of Vendor Payment Terms: </w:t>
      </w:r>
      <w:r>
        <w:rPr>
          <w:rFonts w:ascii="Times New Roman;serif" w:hAnsi="Times New Roman;serif"/>
          <w:b w:val="false"/>
          <w:color w:val="000000"/>
          <w:sz w:val="20"/>
        </w:rPr>
        <w:t>As part of our working capital efficiency program, we have negotiated extended payment terms with certain vendors. As we transition to these terms during the fourth quarter of 2026 and first quarter of 2027, we estimate a cumulative positive impact of approximately $50 million-$60 million to net cash provided by operating activities across those two quarters, resulting in corresponding increases to our cash and cash equivalents and accounts payable balances by the end of the first quarter of 2027. These changes reflect the timing of cash payments only, and will not impact our revenues, operating income, net income, non-GAAP operating income, or adjusted EBITDA. The extended terms may be revised or revoked at any time, in which case we would expect the related increases in cash, accounts payable, and net cash provided by operating activities to reverse.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180"/>
        <w:jc w:val="both"/>
        <w:rPr>
          <w:rFonts w:ascii="Times New Roman;serif" w:hAnsi="Times New Roman;serif"/>
          <w:b/>
          <w:i/>
          <w:color w:val="000000"/>
          <w:sz w:val="20"/>
        </w:rPr>
      </w:pPr>
      <w:r>
        <w:rPr>
          <w:rFonts w:ascii="Times New Roman;serif" w:hAnsi="Times New Roman;serif"/>
          <w:b/>
          <w:i/>
          <w:color w:val="000000"/>
          <w:sz w:val="20"/>
        </w:rPr>
        <w:t>Sources and Uses of Capital Resources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7551" w:type="dxa"/>
        <w:jc w:val="left"/>
        <w:tblInd w:w="0" w:type="dxa"/>
        <w:tblLayout w:type="fixed"/>
        <w:tblCellMar>
          <w:top w:w="28" w:type="dxa"/>
          <w:left w:w="28" w:type="dxa"/>
          <w:bottom w:w="28" w:type="dxa"/>
          <w:right w:w="28" w:type="dxa"/>
        </w:tblCellMar>
      </w:tblPr>
      <w:tblGrid>
        <w:gridCol w:w="1837"/>
        <w:gridCol w:w="1616"/>
        <w:gridCol w:w="1632"/>
        <w:gridCol w:w="109"/>
        <w:gridCol w:w="109"/>
        <w:gridCol w:w="109"/>
        <w:gridCol w:w="211"/>
        <w:gridCol w:w="616"/>
        <w:gridCol w:w="109"/>
        <w:gridCol w:w="109"/>
        <w:gridCol w:w="109"/>
        <w:gridCol w:w="109"/>
        <w:gridCol w:w="211"/>
        <w:gridCol w:w="511"/>
        <w:gridCol w:w="154"/>
      </w:tblGrid>
      <w:tr>
        <w:tc>
          <w:tcPr>
            <w:tcW w:w="183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$15.4 million for the nine months ended September 30, 2026 compared to the nine months ended September 30, 2025, driven by a $4.9 million increase in net income and a $17.2 million decrease in net cash outflow from changes in operating assets and liabilities, partially offset by a $6.7 million decrease in non-cash charges. The decrease in non-cash charges was primarily due to a $7.9 million decrease in depreciation and amortization, partially offset by a $2.6 million increase in stock-based compensation. The decrease in net cash outflow from changes in operating assets and liabilities was primarily due to a $9.3 million decrease for accounts receivable, as well as a $3.3 million decrease in mortgage loans held for sale for the nine months ended September 30, 2026, as compared to a $3.6 million increase for the nine months ended September 30,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$11.5 million for the nine months ended September 30, 2026 compared to the nine months ended September 30, 2025, primarily due to a $16.2 million increase in cash paid for acquisitions, partially offset by $2.3 million of proceeds from the liquidation of a certificate of deposit and a $2.1 million decrease in capitalized software development costs.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$83.2 million for the nine months ended September 30, 2026 compared to the nine months ended September 30, 2025, primarily due to a $79.8 million increase in repurchases of Class A common stock, as well as $3.2 million of net repayment on our warehouse line of credit for the nine months ended September 30, 2026 as compared to $3.3 million of net borrowing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there have been no material changes in our critical accounting policies as disclosed in “Management’s Discussion and Analysis of Financial Condition and Results of Operations—Critical Accounting Policies and Estimates”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there were no material changes from the market risk disclosures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Item 4. Controls and Procedures.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defined under Rules 13a-15(e) and 15d-15(e) of the Securities Exchange Act of 1934, as amended (the Exchange Act)). Management, under the supervision and with the participation of our Chief Executive Officer and our Chief Financial Officer, evaluated the effectiveness of the Company’s disclosure controls and procedures pursuant to Exchange Act Rule 13a-15(b) as of September 30, 2026. Based on that evaluation, the Chief Executive Officer and the Chief Financial Officer concluded that these disclosure controls and procedures were effective as of September 30,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identified in connection with the evaluation required by Rules 13a-15(d) and 15d-15(d) of the Exchange Act that occurred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6–Commitments and Contingencies in the notes to condensed consolidated financial statements in Item 1 of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2025 and in our subsequent periodic filings with the Securities and Exchange Commission.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described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w:t>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share repurchase activity for the three months ended September 30, 2026:</w:t>
      </w:r>
    </w:p>
    <w:tbl>
      <w:tblPr>
        <w:tblW w:w="10205" w:type="dxa"/>
        <w:jc w:val="left"/>
        <w:tblInd w:w="0" w:type="dxa"/>
        <w:tblLayout w:type="fixed"/>
        <w:tblCellMar>
          <w:top w:w="28" w:type="dxa"/>
          <w:left w:w="28" w:type="dxa"/>
          <w:bottom w:w="28" w:type="dxa"/>
          <w:right w:w="28" w:type="dxa"/>
        </w:tblCellMar>
      </w:tblPr>
      <w:tblGrid>
        <w:gridCol w:w="913"/>
        <w:gridCol w:w="454"/>
        <w:gridCol w:w="462"/>
        <w:gridCol w:w="109"/>
        <w:gridCol w:w="109"/>
        <w:gridCol w:w="109"/>
        <w:gridCol w:w="441"/>
        <w:gridCol w:w="437"/>
        <w:gridCol w:w="438"/>
        <w:gridCol w:w="109"/>
        <w:gridCol w:w="109"/>
        <w:gridCol w:w="109"/>
        <w:gridCol w:w="295"/>
        <w:gridCol w:w="715"/>
        <w:gridCol w:w="152"/>
        <w:gridCol w:w="109"/>
        <w:gridCol w:w="109"/>
        <w:gridCol w:w="109"/>
        <w:gridCol w:w="713"/>
        <w:gridCol w:w="708"/>
        <w:gridCol w:w="710"/>
        <w:gridCol w:w="109"/>
        <w:gridCol w:w="109"/>
        <w:gridCol w:w="109"/>
        <w:gridCol w:w="588"/>
        <w:gridCol w:w="1429"/>
        <w:gridCol w:w="442"/>
      </w:tblGrid>
      <w:tr>
        <w:tc>
          <w:tcPr>
            <w:tcW w:w="9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6"/>
              </w:rPr>
              <w:t>Total Number of Shares Purchased</w:t>
            </w:r>
            <w:r>
              <w:rPr>
                <w:rFonts w:ascii="Times New Roman;serif" w:hAnsi="Times New Roman;serif"/>
                <w:b/>
                <w:color w:val="000000"/>
                <w:sz w:val="10"/>
              </w:rPr>
              <w:t>1</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6"/>
              </w:rPr>
              <w:t>Average Price Paid per Share</w:t>
            </w:r>
            <w:r>
              <w:rPr>
                <w:rFonts w:ascii="Times New Roman;serif" w:hAnsi="Times New Roman;serif"/>
                <w:b/>
                <w:i/>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1</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1</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On May 2, 2023, we announced that our Board of Directors authorized a plan under which we may repurchase up to $20 million of our Class A common stock and, following our utilization of that share repurchase authorization, we announced on October 26, 2023, September 9, 2024, October 29, 2024, September 13, 2025, December 16, 2025, and February 25, 2026 that our Board of Directors approved additional share repurchase authorizations under which we may repurchase up to an additional $30 million, $50 million, $25 million, $50 million, $50 million, and $100 million, respectively, of our Class A common stock (collectively, the Repurchase Program). Under the Repurchase Program, shares of Class A common stock may be repurchased from time to time in the open market, through privately negotiated transactions, or otherwise, in accordance with applicable securities laws and other restrictions. The Repurchase Program does not have fixed expiration dates, does not obligate us to acquire any specific dollar amount or number of shares, and may be amended, suspended or discontinued at any time. The amount and timing of any repurchases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Securities Trading Plans of Directors or Executive Officers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none of our directors or officers (as defined in Rule 16a-1 of the Exchange Act) adopted, modified or terminated a Rule 10b5-1 trading arrangement or a non-Rule 10b5-1 trading arrangement (as such terms are defined under Item 408 of Regulation S-K).</w:t>
      </w:r>
    </w:p>
    <w:p>
      <w:pPr>
        <w:pStyle w:val="TextBody"/>
        <w:bidi w:val="0"/>
        <w:spacing w:before="0" w:after="180"/>
        <w:ind w:left="0" w:right="0" w:firstLine="36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Exhibits. </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486"/>
        <w:gridCol w:w="2486"/>
        <w:gridCol w:w="2490"/>
        <w:gridCol w:w="109"/>
        <w:gridCol w:w="109"/>
        <w:gridCol w:w="109"/>
        <w:gridCol w:w="421"/>
        <w:gridCol w:w="364"/>
        <w:gridCol w:w="523"/>
      </w:tblGrid>
      <w:t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Location</w:t>
            </w:r>
          </w:p>
        </w:tc>
      </w:tr>
      <w:tr>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pPr>
            <w:hyperlink w:anchor="exhibit311-302certificatio.htm">
              <w:r>
                <w:rPr>
                  <w:rStyle w:val="InternetLink"/>
                  <w:rFonts w:ascii="Times New Roman;serif" w:hAnsi="Times New Roman;serif"/>
                  <w:b w:val="false"/>
                  <w:color w:val="000080"/>
                  <w:sz w:val="20"/>
                  <w:u w:val="single"/>
                </w:rPr>
                <w:t>Certification of Principal Executive Officer pursuant to Exchange Act Rules 13a-14(a) and 15d-14(a), as adopted pursuant to Section</w:t>
              </w:r>
            </w:hyperlink>
            <w:hyperlink w:anchor="exhibit311-302certificatio.htm">
              <w:r>
                <w:rPr>
                  <w:rStyle w:val="InternetLink"/>
                  <w:rFonts w:ascii="Times New Roman;serif" w:hAnsi="Times New Roman;serif"/>
                  <w:b w:val="false"/>
                  <w:color w:val="000080"/>
                  <w:sz w:val="20"/>
                  <w:u w:val="single"/>
                </w:rPr>
                <w:t> </w:t>
              </w:r>
            </w:hyperlink>
            <w:hyperlink w:anchor="exhibit311-302certificatio.htm">
              <w:r>
                <w:rPr>
                  <w:rStyle w:val="InternetLink"/>
                  <w:rFonts w:ascii="Times New Roman;serif" w:hAnsi="Times New Roman;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pPr>
            <w:hyperlink w:anchor="exhibit312-302certificatio.htm">
              <w:r>
                <w:rPr>
                  <w:rStyle w:val="InternetLink"/>
                  <w:rFonts w:ascii="Times New Roman;serif" w:hAnsi="Times New Roman;serif"/>
                  <w:b w:val="false"/>
                  <w:color w:val="000080"/>
                  <w:sz w:val="20"/>
                  <w:u w:val="single"/>
                </w:rPr>
                <w:t>Certification of Principal Financial Officer pursuant to Exchange Act Rules 13a-14(a) and 15d-14(a), as adopted pursuant to Section</w:t>
              </w:r>
            </w:hyperlink>
            <w:hyperlink w:anchor="exhibit312-302certificatio.htm">
              <w:r>
                <w:rPr>
                  <w:rStyle w:val="InternetLink"/>
                  <w:rFonts w:ascii="Times New Roman;serif" w:hAnsi="Times New Roman;serif"/>
                  <w:b w:val="false"/>
                  <w:color w:val="000080"/>
                  <w:sz w:val="20"/>
                  <w:u w:val="single"/>
                </w:rPr>
                <w:t> </w:t>
              </w:r>
            </w:hyperlink>
            <w:hyperlink w:anchor="exhibit312-302certificatio.htm">
              <w:r>
                <w:rPr>
                  <w:rStyle w:val="InternetLink"/>
                  <w:rFonts w:ascii="Times New Roman;serif" w:hAnsi="Times New Roman;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pPr>
            <w:hyperlink w:anchor="exhibit321-404certificatio.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pPr>
            <w:hyperlink w:anchor="exhibit322-404certificatio.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bidi w:val="0"/>
        <w:spacing w:before="240" w:after="180"/>
        <w:ind w:left="0" w:right="0" w:firstLine="36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0"/>
        <w:jc w:val="left"/>
      </w:pPr>
      <w:hyperlink w:anchor="i316b380491db4ab8af079b2caba8e0b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47"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317"/>
        <w:gridCol w:w="317"/>
        <w:gridCol w:w="317"/>
        <w:gridCol w:w="587"/>
        <w:gridCol w:w="587"/>
        <w:gridCol w:w="836"/>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6"/>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NERDWALLET, INC.</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Jun Hyung Lee</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Jun Hyung Lee</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40" w:after="180"/>
        <w:ind w:left="0" w:right="0" w:firstLine="490"/>
        <w:jc w:val="both"/>
      </w:pPr>
      <w:r/>
    </w:p>
    <w:p>
      <w:pPr>
        <w:pStyle w:val="TextBody"/>
        <w:bidi w:val="0"/>
        <w:jc w:val="center"/>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p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Tim Chen,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NerdWallet,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pPr>
      <w:r/>
    </w:p>
    <w:tbl>
      <w:tblPr>
        <w:tblW w:w="547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870"/>
        <w:gridCol w:w="870"/>
        <w:gridCol w:w="1244"/>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Tim Chen</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Tim Chen</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w:t>
              <w:br/>
              <w:t>Chairman of the Board of Directors</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p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p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Jun Hyung Lee,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NerdWallet,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pPr>
      <w:r/>
    </w:p>
    <w:tbl>
      <w:tblPr>
        <w:tblW w:w="449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586"/>
        <w:gridCol w:w="586"/>
        <w:gridCol w:w="838"/>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Jun Hyung Lee</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 Hyung Lee</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p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p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September 30, 2026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pPr>
      <w:r/>
    </w:p>
    <w:p>
      <w:pPr>
        <w:pStyle w:val="TextBody"/>
        <w:bidi w:val="0"/>
        <w:spacing w:before="0" w:after="120"/>
        <w:ind w:left="0" w:right="0" w:firstLine="540"/>
        <w:jc w:val="both"/>
      </w:pPr>
      <w:r/>
    </w:p>
    <w:tbl>
      <w:tblPr>
        <w:tblW w:w="547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870"/>
        <w:gridCol w:w="870"/>
        <w:gridCol w:w="1244"/>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Tim Chen</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Tim Chen</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w:t>
              <w:br/>
              <w:t>Chairman of the Board of Directors</w:t>
            </w:r>
          </w:p>
        </w:tc>
      </w:tr>
    </w:tbl>
    <w:p>
      <w:pPr>
        <w:pStyle w:val="TextBody"/>
        <w:bidi w:val="0"/>
        <w:spacing w:before="0" w:after="120"/>
        <w:jc w:val="left"/>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p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pPr>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Jun Hyung Lee, Chief Financial Officer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September 30, 2026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pPr>
      <w:r/>
    </w:p>
    <w:p>
      <w:pPr>
        <w:pStyle w:val="TextBody"/>
        <w:bidi w:val="0"/>
        <w:spacing w:before="0" w:after="120"/>
        <w:ind w:left="0" w:right="0" w:firstLine="540"/>
        <w:jc w:val="both"/>
      </w:pPr>
      <w:r/>
    </w:p>
    <w:tbl>
      <w:tblPr>
        <w:tblW w:w="449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586"/>
        <w:gridCol w:w="586"/>
        <w:gridCol w:w="838"/>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Jun Hyung Lee</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 Hyung Lee</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15025</Words>
  <Characters>83731</Characters>
  <CharactersWithSpaces>97355</CharactersWithSpaces>
  <Paragraphs>2275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